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D8A01" w14:textId="77777777" w:rsidR="007C736D" w:rsidRDefault="007C736D">
      <w:pPr>
        <w:tabs>
          <w:tab w:val="left" w:pos="6660"/>
        </w:tabs>
        <w:spacing w:line="360" w:lineRule="auto"/>
        <w:jc w:val="center"/>
        <w:rPr>
          <w:bCs/>
          <w:sz w:val="44"/>
        </w:rPr>
      </w:pPr>
      <w:bookmarkStart w:id="0" w:name="_Hlk118732730"/>
    </w:p>
    <w:p w14:paraId="21C9A964" w14:textId="77777777" w:rsidR="007C736D" w:rsidRDefault="007C736D">
      <w:pPr>
        <w:tabs>
          <w:tab w:val="left" w:pos="6660"/>
        </w:tabs>
        <w:spacing w:line="360" w:lineRule="auto"/>
        <w:jc w:val="center"/>
        <w:rPr>
          <w:bCs/>
          <w:sz w:val="44"/>
        </w:rPr>
      </w:pPr>
    </w:p>
    <w:p w14:paraId="40AF9E81" w14:textId="77777777" w:rsidR="007C736D" w:rsidRDefault="007C736D">
      <w:pPr>
        <w:tabs>
          <w:tab w:val="left" w:pos="6660"/>
        </w:tabs>
        <w:spacing w:line="360" w:lineRule="auto"/>
        <w:jc w:val="center"/>
        <w:rPr>
          <w:bCs/>
          <w:sz w:val="44"/>
        </w:rPr>
      </w:pPr>
    </w:p>
    <w:p w14:paraId="563ED021" w14:textId="77777777" w:rsidR="007C736D" w:rsidRDefault="007C736D">
      <w:pPr>
        <w:jc w:val="center"/>
        <w:rPr>
          <w:sz w:val="52"/>
        </w:rPr>
      </w:pPr>
    </w:p>
    <w:p w14:paraId="7ADE94F2" w14:textId="77777777" w:rsidR="007C736D" w:rsidRDefault="007C736D"/>
    <w:p w14:paraId="4696636B" w14:textId="77777777" w:rsidR="007C736D" w:rsidRPr="00EA3410" w:rsidRDefault="007C736D">
      <w:pPr>
        <w:jc w:val="center"/>
        <w:rPr>
          <w:sz w:val="48"/>
        </w:rPr>
      </w:pPr>
    </w:p>
    <w:p w14:paraId="5401C603" w14:textId="6EC4A14D" w:rsidR="007C736D" w:rsidRPr="00EA3410" w:rsidRDefault="00662CFB">
      <w:pPr>
        <w:jc w:val="center"/>
        <w:rPr>
          <w:sz w:val="48"/>
        </w:rPr>
      </w:pPr>
      <w:bookmarkStart w:id="1" w:name="_Toc123701382"/>
      <w:bookmarkStart w:id="2" w:name="_Toc123112223"/>
      <w:bookmarkStart w:id="3" w:name="_Toc139992300"/>
      <w:bookmarkStart w:id="4" w:name="_Toc123112262"/>
      <w:bookmarkStart w:id="5" w:name="_Toc139991725"/>
      <w:r w:rsidRPr="00EA3410">
        <w:rPr>
          <w:rFonts w:hint="eastAsia"/>
          <w:sz w:val="44"/>
        </w:rPr>
        <w:t>平安港股通科技精选混合型证券投资基金</w:t>
      </w:r>
      <w:r w:rsidRPr="00EA3410">
        <w:rPr>
          <w:sz w:val="44"/>
        </w:rPr>
        <w:t>基金合同</w:t>
      </w:r>
      <w:bookmarkEnd w:id="1"/>
      <w:bookmarkEnd w:id="2"/>
      <w:bookmarkEnd w:id="3"/>
      <w:bookmarkEnd w:id="4"/>
      <w:bookmarkEnd w:id="5"/>
    </w:p>
    <w:p w14:paraId="30DF2092" w14:textId="77777777" w:rsidR="007C736D" w:rsidRDefault="007C736D">
      <w:pPr>
        <w:jc w:val="center"/>
        <w:rPr>
          <w:sz w:val="48"/>
        </w:rPr>
      </w:pPr>
    </w:p>
    <w:p w14:paraId="218350FB" w14:textId="77777777" w:rsidR="007C736D" w:rsidRDefault="007C736D">
      <w:pPr>
        <w:jc w:val="center"/>
        <w:rPr>
          <w:sz w:val="48"/>
        </w:rPr>
      </w:pPr>
    </w:p>
    <w:p w14:paraId="52341B12" w14:textId="77777777" w:rsidR="007C736D" w:rsidRDefault="007C736D">
      <w:pPr>
        <w:jc w:val="center"/>
        <w:rPr>
          <w:sz w:val="48"/>
        </w:rPr>
      </w:pPr>
    </w:p>
    <w:p w14:paraId="41BD1BC6" w14:textId="77777777" w:rsidR="007C736D" w:rsidRDefault="007C736D">
      <w:pPr>
        <w:jc w:val="center"/>
        <w:rPr>
          <w:sz w:val="48"/>
        </w:rPr>
      </w:pPr>
    </w:p>
    <w:p w14:paraId="3355345D" w14:textId="77777777" w:rsidR="007C736D" w:rsidRDefault="007C736D">
      <w:pPr>
        <w:jc w:val="center"/>
        <w:rPr>
          <w:sz w:val="48"/>
        </w:rPr>
      </w:pPr>
    </w:p>
    <w:p w14:paraId="6990D708" w14:textId="77777777" w:rsidR="007C736D" w:rsidRPr="00EA3410" w:rsidRDefault="007C736D">
      <w:pPr>
        <w:rPr>
          <w:sz w:val="20"/>
        </w:rPr>
      </w:pPr>
    </w:p>
    <w:p w14:paraId="73BD2256" w14:textId="77777777" w:rsidR="007C736D" w:rsidRPr="00EA3410" w:rsidRDefault="00662CFB">
      <w:pPr>
        <w:jc w:val="center"/>
        <w:rPr>
          <w:sz w:val="32"/>
        </w:rPr>
      </w:pPr>
      <w:bookmarkStart w:id="6" w:name="_Toc139992301"/>
      <w:bookmarkStart w:id="7" w:name="_Toc139991726"/>
      <w:bookmarkStart w:id="8" w:name="_Toc123112224"/>
      <w:bookmarkStart w:id="9" w:name="_Toc123112263"/>
      <w:bookmarkStart w:id="10" w:name="_Toc123701383"/>
      <w:r w:rsidRPr="00EA3410">
        <w:rPr>
          <w:rFonts w:hint="eastAsia"/>
          <w:sz w:val="32"/>
        </w:rPr>
        <w:t>基金管理人：</w:t>
      </w:r>
      <w:bookmarkEnd w:id="6"/>
      <w:bookmarkEnd w:id="7"/>
      <w:bookmarkEnd w:id="8"/>
      <w:bookmarkEnd w:id="9"/>
      <w:bookmarkEnd w:id="10"/>
      <w:r w:rsidRPr="00EA3410">
        <w:rPr>
          <w:rFonts w:hint="eastAsia"/>
          <w:sz w:val="32"/>
        </w:rPr>
        <w:t>平安基金管理有限公司</w:t>
      </w:r>
    </w:p>
    <w:p w14:paraId="15E668F7" w14:textId="77777777" w:rsidR="007C736D" w:rsidRPr="00EA3410" w:rsidRDefault="00662CFB">
      <w:pPr>
        <w:jc w:val="center"/>
        <w:rPr>
          <w:sz w:val="32"/>
        </w:rPr>
      </w:pPr>
      <w:bookmarkStart w:id="11" w:name="_Toc139992302"/>
      <w:bookmarkStart w:id="12" w:name="_Toc139991727"/>
      <w:bookmarkStart w:id="13" w:name="_Toc123701384"/>
      <w:bookmarkStart w:id="14" w:name="_Toc123112264"/>
      <w:bookmarkStart w:id="15" w:name="_Toc123112225"/>
      <w:r w:rsidRPr="00EA3410">
        <w:rPr>
          <w:rFonts w:hint="eastAsia"/>
          <w:sz w:val="32"/>
        </w:rPr>
        <w:t>基金托管人：</w:t>
      </w:r>
      <w:bookmarkEnd w:id="11"/>
      <w:bookmarkEnd w:id="12"/>
      <w:bookmarkEnd w:id="13"/>
      <w:bookmarkEnd w:id="14"/>
      <w:bookmarkEnd w:id="15"/>
      <w:r w:rsidRPr="00EA3410">
        <w:rPr>
          <w:rFonts w:hint="eastAsia"/>
          <w:sz w:val="32"/>
        </w:rPr>
        <w:t>中国建设银行股份有限公司</w:t>
      </w:r>
    </w:p>
    <w:p w14:paraId="796DD4E6" w14:textId="77777777" w:rsidR="007C736D" w:rsidRDefault="007C736D">
      <w:pPr>
        <w:jc w:val="center"/>
        <w:rPr>
          <w:sz w:val="32"/>
        </w:rPr>
      </w:pPr>
    </w:p>
    <w:p w14:paraId="6612FC59" w14:textId="77777777" w:rsidR="007C736D" w:rsidRDefault="007C736D">
      <w:pPr>
        <w:jc w:val="center"/>
        <w:rPr>
          <w:bCs/>
          <w:sz w:val="28"/>
        </w:rPr>
      </w:pPr>
      <w:bookmarkStart w:id="16" w:name="_Toc139991729"/>
      <w:bookmarkStart w:id="17" w:name="_Toc123701386"/>
      <w:bookmarkStart w:id="18" w:name="_Toc123112266"/>
      <w:bookmarkStart w:id="19" w:name="_Toc123112227"/>
    </w:p>
    <w:p w14:paraId="6156FDEB" w14:textId="77777777" w:rsidR="007C736D" w:rsidRDefault="00662CFB">
      <w:pPr>
        <w:jc w:val="center"/>
        <w:rPr>
          <w:bCs/>
          <w:sz w:val="28"/>
        </w:rPr>
        <w:sectPr w:rsidR="007C736D">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r>
        <w:rPr>
          <w:rFonts w:ascii="宋体" w:hint="eastAsia"/>
          <w:bCs/>
          <w:sz w:val="30"/>
        </w:rPr>
        <w:t>二零二五年</w:t>
      </w:r>
    </w:p>
    <w:p w14:paraId="7C47B911" w14:textId="77777777" w:rsidR="007C736D" w:rsidRDefault="00662CFB">
      <w:pPr>
        <w:jc w:val="center"/>
        <w:rPr>
          <w:bCs/>
          <w:sz w:val="28"/>
        </w:rPr>
      </w:pPr>
      <w:r>
        <w:rPr>
          <w:bCs/>
          <w:sz w:val="28"/>
        </w:rPr>
        <w:lastRenderedPageBreak/>
        <w:t>目录</w:t>
      </w:r>
      <w:bookmarkEnd w:id="16"/>
      <w:bookmarkEnd w:id="17"/>
      <w:bookmarkEnd w:id="18"/>
      <w:bookmarkEnd w:id="19"/>
    </w:p>
    <w:p w14:paraId="2C38784B" w14:textId="113E5C9C" w:rsidR="007C736D" w:rsidRDefault="00662CFB">
      <w:pPr>
        <w:pStyle w:val="13"/>
        <w:rPr>
          <w:rFonts w:asciiTheme="minorHAnsi" w:hAnsiTheme="minorHAnsi" w:cstheme="minorBidi"/>
          <w:noProof/>
          <w:kern w:val="2"/>
        </w:rPr>
      </w:pPr>
      <w:r>
        <w:rPr>
          <w:bCs/>
          <w:sz w:val="24"/>
        </w:rPr>
        <w:fldChar w:fldCharType="begin"/>
      </w:r>
      <w:r>
        <w:rPr>
          <w:bCs/>
          <w:sz w:val="24"/>
        </w:rPr>
        <w:instrText xml:space="preserve"> TOC \o "1-1" \h \z \u </w:instrText>
      </w:r>
      <w:r>
        <w:rPr>
          <w:bCs/>
          <w:sz w:val="24"/>
        </w:rPr>
        <w:fldChar w:fldCharType="separate"/>
      </w:r>
      <w:hyperlink w:anchor="_Toc136360670" w:history="1">
        <w:r>
          <w:rPr>
            <w:rStyle w:val="afb"/>
            <w:noProof/>
          </w:rPr>
          <w:t>第一部分</w:t>
        </w:r>
        <w:r>
          <w:rPr>
            <w:rStyle w:val="afb"/>
            <w:noProof/>
          </w:rPr>
          <w:t xml:space="preserve">  </w:t>
        </w:r>
        <w:r>
          <w:rPr>
            <w:rStyle w:val="afb"/>
            <w:noProof/>
          </w:rPr>
          <w:t>前言</w:t>
        </w:r>
        <w:r>
          <w:rPr>
            <w:noProof/>
          </w:rPr>
          <w:tab/>
        </w:r>
        <w:r>
          <w:rPr>
            <w:noProof/>
          </w:rPr>
          <w:fldChar w:fldCharType="begin"/>
        </w:r>
        <w:r>
          <w:rPr>
            <w:noProof/>
          </w:rPr>
          <w:instrText xml:space="preserve"> PAGEREF _Toc136360670 \h </w:instrText>
        </w:r>
        <w:r>
          <w:rPr>
            <w:noProof/>
          </w:rPr>
        </w:r>
        <w:r>
          <w:rPr>
            <w:noProof/>
          </w:rPr>
          <w:fldChar w:fldCharType="separate"/>
        </w:r>
        <w:r w:rsidR="00656073">
          <w:rPr>
            <w:noProof/>
          </w:rPr>
          <w:t>1</w:t>
        </w:r>
        <w:r>
          <w:rPr>
            <w:noProof/>
          </w:rPr>
          <w:fldChar w:fldCharType="end"/>
        </w:r>
      </w:hyperlink>
    </w:p>
    <w:p w14:paraId="0B995DDC" w14:textId="77B871A4" w:rsidR="007C736D" w:rsidRDefault="00662CFB">
      <w:pPr>
        <w:pStyle w:val="13"/>
        <w:rPr>
          <w:rFonts w:asciiTheme="minorHAnsi" w:hAnsiTheme="minorHAnsi" w:cstheme="minorBidi"/>
          <w:noProof/>
          <w:kern w:val="2"/>
        </w:rPr>
      </w:pPr>
      <w:hyperlink w:anchor="_Toc136360671" w:history="1">
        <w:r>
          <w:rPr>
            <w:rStyle w:val="afb"/>
            <w:noProof/>
          </w:rPr>
          <w:t>第二部分</w:t>
        </w:r>
        <w:r>
          <w:rPr>
            <w:rStyle w:val="afb"/>
            <w:noProof/>
          </w:rPr>
          <w:t xml:space="preserve">  </w:t>
        </w:r>
        <w:r>
          <w:rPr>
            <w:rStyle w:val="afb"/>
            <w:noProof/>
          </w:rPr>
          <w:t>释义</w:t>
        </w:r>
        <w:r>
          <w:rPr>
            <w:noProof/>
          </w:rPr>
          <w:tab/>
        </w:r>
        <w:r>
          <w:rPr>
            <w:noProof/>
          </w:rPr>
          <w:fldChar w:fldCharType="begin"/>
        </w:r>
        <w:r>
          <w:rPr>
            <w:noProof/>
          </w:rPr>
          <w:instrText xml:space="preserve"> PAGEREF _Toc136360671 \h </w:instrText>
        </w:r>
        <w:r>
          <w:rPr>
            <w:noProof/>
          </w:rPr>
        </w:r>
        <w:r>
          <w:rPr>
            <w:noProof/>
          </w:rPr>
          <w:fldChar w:fldCharType="separate"/>
        </w:r>
        <w:r w:rsidR="00656073">
          <w:rPr>
            <w:noProof/>
          </w:rPr>
          <w:t>3</w:t>
        </w:r>
        <w:r>
          <w:rPr>
            <w:noProof/>
          </w:rPr>
          <w:fldChar w:fldCharType="end"/>
        </w:r>
      </w:hyperlink>
    </w:p>
    <w:p w14:paraId="44DEF737" w14:textId="59A6F969" w:rsidR="007C736D" w:rsidRDefault="00662CFB">
      <w:pPr>
        <w:pStyle w:val="13"/>
        <w:rPr>
          <w:rFonts w:asciiTheme="minorHAnsi" w:hAnsiTheme="minorHAnsi" w:cstheme="minorBidi"/>
          <w:noProof/>
          <w:kern w:val="2"/>
        </w:rPr>
      </w:pPr>
      <w:hyperlink w:anchor="_Toc136360672" w:history="1">
        <w:r>
          <w:rPr>
            <w:rStyle w:val="afb"/>
            <w:noProof/>
          </w:rPr>
          <w:t>第三部分</w:t>
        </w:r>
        <w:r>
          <w:rPr>
            <w:rStyle w:val="afb"/>
            <w:noProof/>
          </w:rPr>
          <w:t xml:space="preserve">  </w:t>
        </w:r>
        <w:r>
          <w:rPr>
            <w:rStyle w:val="afb"/>
            <w:noProof/>
          </w:rPr>
          <w:t>基金的基本情况</w:t>
        </w:r>
        <w:r>
          <w:rPr>
            <w:noProof/>
          </w:rPr>
          <w:tab/>
        </w:r>
        <w:r>
          <w:rPr>
            <w:noProof/>
          </w:rPr>
          <w:fldChar w:fldCharType="begin"/>
        </w:r>
        <w:r>
          <w:rPr>
            <w:noProof/>
          </w:rPr>
          <w:instrText xml:space="preserve"> PAGEREF _Toc136360672 \h </w:instrText>
        </w:r>
        <w:r>
          <w:rPr>
            <w:noProof/>
          </w:rPr>
        </w:r>
        <w:r>
          <w:rPr>
            <w:noProof/>
          </w:rPr>
          <w:fldChar w:fldCharType="separate"/>
        </w:r>
        <w:r w:rsidR="00656073">
          <w:rPr>
            <w:noProof/>
          </w:rPr>
          <w:t>9</w:t>
        </w:r>
        <w:r>
          <w:rPr>
            <w:noProof/>
          </w:rPr>
          <w:fldChar w:fldCharType="end"/>
        </w:r>
      </w:hyperlink>
    </w:p>
    <w:p w14:paraId="4A2B13E2" w14:textId="3EF5E16F" w:rsidR="007C736D" w:rsidRDefault="00662CFB">
      <w:pPr>
        <w:pStyle w:val="13"/>
        <w:rPr>
          <w:rFonts w:asciiTheme="minorHAnsi" w:hAnsiTheme="minorHAnsi" w:cstheme="minorBidi"/>
          <w:noProof/>
          <w:kern w:val="2"/>
        </w:rPr>
      </w:pPr>
      <w:hyperlink w:anchor="_Toc136360673" w:history="1">
        <w:r>
          <w:rPr>
            <w:rStyle w:val="afb"/>
            <w:noProof/>
          </w:rPr>
          <w:t>第四部分</w:t>
        </w:r>
        <w:r>
          <w:rPr>
            <w:rStyle w:val="afb"/>
            <w:noProof/>
          </w:rPr>
          <w:t xml:space="preserve">  </w:t>
        </w:r>
        <w:r>
          <w:rPr>
            <w:rStyle w:val="afb"/>
            <w:noProof/>
          </w:rPr>
          <w:t>基金份额的发售</w:t>
        </w:r>
        <w:r>
          <w:rPr>
            <w:noProof/>
          </w:rPr>
          <w:tab/>
        </w:r>
        <w:r>
          <w:rPr>
            <w:noProof/>
          </w:rPr>
          <w:fldChar w:fldCharType="begin"/>
        </w:r>
        <w:r>
          <w:rPr>
            <w:noProof/>
          </w:rPr>
          <w:instrText xml:space="preserve"> PAGEREF _Toc136360673 \h </w:instrText>
        </w:r>
        <w:r>
          <w:rPr>
            <w:noProof/>
          </w:rPr>
        </w:r>
        <w:r>
          <w:rPr>
            <w:noProof/>
          </w:rPr>
          <w:fldChar w:fldCharType="separate"/>
        </w:r>
        <w:r w:rsidR="00656073">
          <w:rPr>
            <w:noProof/>
          </w:rPr>
          <w:t>11</w:t>
        </w:r>
        <w:r>
          <w:rPr>
            <w:noProof/>
          </w:rPr>
          <w:fldChar w:fldCharType="end"/>
        </w:r>
      </w:hyperlink>
    </w:p>
    <w:p w14:paraId="17E40428" w14:textId="0BF0F6C1" w:rsidR="007C736D" w:rsidRDefault="00662CFB">
      <w:pPr>
        <w:pStyle w:val="13"/>
        <w:rPr>
          <w:rFonts w:asciiTheme="minorHAnsi" w:hAnsiTheme="minorHAnsi" w:cstheme="minorBidi"/>
          <w:noProof/>
          <w:kern w:val="2"/>
        </w:rPr>
      </w:pPr>
      <w:hyperlink w:anchor="_Toc136360674" w:history="1">
        <w:r>
          <w:rPr>
            <w:rStyle w:val="afb"/>
            <w:noProof/>
          </w:rPr>
          <w:t>第五部分</w:t>
        </w:r>
        <w:r>
          <w:rPr>
            <w:rStyle w:val="afb"/>
            <w:noProof/>
          </w:rPr>
          <w:t xml:space="preserve">  </w:t>
        </w:r>
        <w:r>
          <w:rPr>
            <w:rStyle w:val="afb"/>
            <w:noProof/>
          </w:rPr>
          <w:t>基金备案</w:t>
        </w:r>
        <w:r>
          <w:rPr>
            <w:noProof/>
          </w:rPr>
          <w:tab/>
        </w:r>
        <w:r>
          <w:rPr>
            <w:noProof/>
          </w:rPr>
          <w:fldChar w:fldCharType="begin"/>
        </w:r>
        <w:r>
          <w:rPr>
            <w:noProof/>
          </w:rPr>
          <w:instrText xml:space="preserve"> PAGEREF _Toc136360674 \h </w:instrText>
        </w:r>
        <w:r>
          <w:rPr>
            <w:noProof/>
          </w:rPr>
        </w:r>
        <w:r>
          <w:rPr>
            <w:noProof/>
          </w:rPr>
          <w:fldChar w:fldCharType="separate"/>
        </w:r>
        <w:r w:rsidR="00656073">
          <w:rPr>
            <w:noProof/>
          </w:rPr>
          <w:t>13</w:t>
        </w:r>
        <w:r>
          <w:rPr>
            <w:noProof/>
          </w:rPr>
          <w:fldChar w:fldCharType="end"/>
        </w:r>
      </w:hyperlink>
    </w:p>
    <w:p w14:paraId="7B07FA62" w14:textId="1C86E35E" w:rsidR="007C736D" w:rsidRDefault="00662CFB">
      <w:pPr>
        <w:pStyle w:val="13"/>
        <w:rPr>
          <w:rFonts w:asciiTheme="minorHAnsi" w:hAnsiTheme="minorHAnsi" w:cstheme="minorBidi"/>
          <w:noProof/>
          <w:kern w:val="2"/>
        </w:rPr>
      </w:pPr>
      <w:hyperlink w:anchor="_Toc136360675" w:history="1">
        <w:r>
          <w:rPr>
            <w:rStyle w:val="afb"/>
            <w:noProof/>
          </w:rPr>
          <w:t>第六部分</w:t>
        </w:r>
        <w:r>
          <w:rPr>
            <w:rStyle w:val="afb"/>
            <w:noProof/>
          </w:rPr>
          <w:t xml:space="preserve">  </w:t>
        </w:r>
        <w:r>
          <w:rPr>
            <w:rStyle w:val="afb"/>
            <w:noProof/>
          </w:rPr>
          <w:t>基金份额的申</w:t>
        </w:r>
        <w:r>
          <w:rPr>
            <w:rStyle w:val="afb"/>
            <w:noProof/>
          </w:rPr>
          <w:t>购与赎回</w:t>
        </w:r>
        <w:r>
          <w:rPr>
            <w:noProof/>
          </w:rPr>
          <w:tab/>
        </w:r>
        <w:r>
          <w:rPr>
            <w:noProof/>
          </w:rPr>
          <w:fldChar w:fldCharType="begin"/>
        </w:r>
        <w:r>
          <w:rPr>
            <w:noProof/>
          </w:rPr>
          <w:instrText xml:space="preserve"> PAGEREF _Toc136360675 \h </w:instrText>
        </w:r>
        <w:r>
          <w:rPr>
            <w:noProof/>
          </w:rPr>
        </w:r>
        <w:r>
          <w:rPr>
            <w:noProof/>
          </w:rPr>
          <w:fldChar w:fldCharType="separate"/>
        </w:r>
        <w:r w:rsidR="00656073">
          <w:rPr>
            <w:noProof/>
          </w:rPr>
          <w:t>14</w:t>
        </w:r>
        <w:r>
          <w:rPr>
            <w:noProof/>
          </w:rPr>
          <w:fldChar w:fldCharType="end"/>
        </w:r>
      </w:hyperlink>
    </w:p>
    <w:p w14:paraId="6EFBBC3F" w14:textId="69FB7D37" w:rsidR="007C736D" w:rsidRDefault="00662CFB">
      <w:pPr>
        <w:pStyle w:val="13"/>
        <w:rPr>
          <w:rFonts w:asciiTheme="minorHAnsi" w:hAnsiTheme="minorHAnsi" w:cstheme="minorBidi"/>
          <w:noProof/>
          <w:kern w:val="2"/>
        </w:rPr>
      </w:pPr>
      <w:hyperlink w:anchor="_Toc136360676" w:history="1">
        <w:r>
          <w:rPr>
            <w:rStyle w:val="afb"/>
            <w:noProof/>
          </w:rPr>
          <w:t>第七部分</w:t>
        </w:r>
        <w:r>
          <w:rPr>
            <w:rStyle w:val="afb"/>
            <w:noProof/>
          </w:rPr>
          <w:t xml:space="preserve">  </w:t>
        </w:r>
        <w:r>
          <w:rPr>
            <w:rStyle w:val="afb"/>
            <w:noProof/>
          </w:rPr>
          <w:t>基金合同当事人及权利义务</w:t>
        </w:r>
        <w:r>
          <w:rPr>
            <w:noProof/>
          </w:rPr>
          <w:tab/>
        </w:r>
        <w:r>
          <w:rPr>
            <w:noProof/>
          </w:rPr>
          <w:fldChar w:fldCharType="begin"/>
        </w:r>
        <w:r>
          <w:rPr>
            <w:noProof/>
          </w:rPr>
          <w:instrText xml:space="preserve"> PAGEREF _Toc136360676 \h </w:instrText>
        </w:r>
        <w:r>
          <w:rPr>
            <w:noProof/>
          </w:rPr>
        </w:r>
        <w:r>
          <w:rPr>
            <w:noProof/>
          </w:rPr>
          <w:fldChar w:fldCharType="separate"/>
        </w:r>
        <w:r w:rsidR="00656073">
          <w:rPr>
            <w:noProof/>
          </w:rPr>
          <w:t>23</w:t>
        </w:r>
        <w:r>
          <w:rPr>
            <w:noProof/>
          </w:rPr>
          <w:fldChar w:fldCharType="end"/>
        </w:r>
      </w:hyperlink>
    </w:p>
    <w:p w14:paraId="3B0FB547" w14:textId="117A2347" w:rsidR="007C736D" w:rsidRDefault="00662CFB">
      <w:pPr>
        <w:pStyle w:val="13"/>
        <w:rPr>
          <w:rFonts w:asciiTheme="minorHAnsi" w:hAnsiTheme="minorHAnsi" w:cstheme="minorBidi"/>
          <w:noProof/>
          <w:kern w:val="2"/>
        </w:rPr>
      </w:pPr>
      <w:hyperlink w:anchor="_Toc136360677" w:history="1">
        <w:r>
          <w:rPr>
            <w:rStyle w:val="afb"/>
            <w:noProof/>
          </w:rPr>
          <w:t>第八部分</w:t>
        </w:r>
        <w:r>
          <w:rPr>
            <w:rStyle w:val="afb"/>
            <w:noProof/>
          </w:rPr>
          <w:t xml:space="preserve">  </w:t>
        </w:r>
        <w:r>
          <w:rPr>
            <w:rStyle w:val="afb"/>
            <w:noProof/>
          </w:rPr>
          <w:t>基金份额持有人大会</w:t>
        </w:r>
        <w:r>
          <w:rPr>
            <w:noProof/>
          </w:rPr>
          <w:tab/>
        </w:r>
        <w:r>
          <w:rPr>
            <w:noProof/>
          </w:rPr>
          <w:fldChar w:fldCharType="begin"/>
        </w:r>
        <w:r>
          <w:rPr>
            <w:noProof/>
          </w:rPr>
          <w:instrText xml:space="preserve"> PAGEREF _Toc136360677 \h </w:instrText>
        </w:r>
        <w:r>
          <w:rPr>
            <w:noProof/>
          </w:rPr>
        </w:r>
        <w:r>
          <w:rPr>
            <w:noProof/>
          </w:rPr>
          <w:fldChar w:fldCharType="separate"/>
        </w:r>
        <w:r w:rsidR="00656073">
          <w:rPr>
            <w:noProof/>
          </w:rPr>
          <w:t>31</w:t>
        </w:r>
        <w:r>
          <w:rPr>
            <w:noProof/>
          </w:rPr>
          <w:fldChar w:fldCharType="end"/>
        </w:r>
      </w:hyperlink>
    </w:p>
    <w:p w14:paraId="5845C186" w14:textId="32DD29F0" w:rsidR="007C736D" w:rsidRDefault="00662CFB">
      <w:pPr>
        <w:pStyle w:val="13"/>
        <w:rPr>
          <w:rFonts w:asciiTheme="minorHAnsi" w:hAnsiTheme="minorHAnsi" w:cstheme="minorBidi"/>
          <w:noProof/>
          <w:kern w:val="2"/>
        </w:rPr>
      </w:pPr>
      <w:hyperlink w:anchor="_Toc136360678" w:history="1">
        <w:r>
          <w:rPr>
            <w:rStyle w:val="afb"/>
            <w:noProof/>
          </w:rPr>
          <w:t>第九部分</w:t>
        </w:r>
        <w:r>
          <w:rPr>
            <w:rStyle w:val="afb"/>
            <w:noProof/>
          </w:rPr>
          <w:t xml:space="preserve">  </w:t>
        </w:r>
        <w:r>
          <w:rPr>
            <w:rStyle w:val="afb"/>
            <w:noProof/>
          </w:rPr>
          <w:t>基金管理人、基金托管人的更换条件和程序</w:t>
        </w:r>
        <w:r>
          <w:rPr>
            <w:noProof/>
          </w:rPr>
          <w:tab/>
        </w:r>
        <w:r>
          <w:rPr>
            <w:noProof/>
          </w:rPr>
          <w:fldChar w:fldCharType="begin"/>
        </w:r>
        <w:r>
          <w:rPr>
            <w:noProof/>
          </w:rPr>
          <w:instrText xml:space="preserve"> PAGEREF _Toc136360678 \h </w:instrText>
        </w:r>
        <w:r>
          <w:rPr>
            <w:noProof/>
          </w:rPr>
        </w:r>
        <w:r>
          <w:rPr>
            <w:noProof/>
          </w:rPr>
          <w:fldChar w:fldCharType="separate"/>
        </w:r>
        <w:r w:rsidR="00656073">
          <w:rPr>
            <w:noProof/>
          </w:rPr>
          <w:t>40</w:t>
        </w:r>
        <w:r>
          <w:rPr>
            <w:noProof/>
          </w:rPr>
          <w:fldChar w:fldCharType="end"/>
        </w:r>
      </w:hyperlink>
    </w:p>
    <w:p w14:paraId="69342AEC" w14:textId="2196A5C5" w:rsidR="007C736D" w:rsidRDefault="00662CFB">
      <w:pPr>
        <w:pStyle w:val="13"/>
        <w:rPr>
          <w:rFonts w:asciiTheme="minorHAnsi" w:hAnsiTheme="minorHAnsi" w:cstheme="minorBidi"/>
          <w:noProof/>
          <w:kern w:val="2"/>
        </w:rPr>
      </w:pPr>
      <w:hyperlink w:anchor="_Toc136360679" w:history="1">
        <w:r>
          <w:rPr>
            <w:rStyle w:val="afb"/>
            <w:noProof/>
          </w:rPr>
          <w:t>第十部分</w:t>
        </w:r>
        <w:r>
          <w:rPr>
            <w:rStyle w:val="afb"/>
            <w:noProof/>
          </w:rPr>
          <w:t xml:space="preserve">  </w:t>
        </w:r>
        <w:r>
          <w:rPr>
            <w:rStyle w:val="afb"/>
            <w:noProof/>
          </w:rPr>
          <w:t>基金的托管</w:t>
        </w:r>
        <w:r>
          <w:rPr>
            <w:noProof/>
          </w:rPr>
          <w:tab/>
        </w:r>
        <w:r>
          <w:rPr>
            <w:noProof/>
          </w:rPr>
          <w:fldChar w:fldCharType="begin"/>
        </w:r>
        <w:r>
          <w:rPr>
            <w:noProof/>
          </w:rPr>
          <w:instrText xml:space="preserve"> PAGEREF _Toc136360679 \h </w:instrText>
        </w:r>
        <w:r>
          <w:rPr>
            <w:noProof/>
          </w:rPr>
        </w:r>
        <w:r>
          <w:rPr>
            <w:noProof/>
          </w:rPr>
          <w:fldChar w:fldCharType="separate"/>
        </w:r>
        <w:r w:rsidR="00656073">
          <w:rPr>
            <w:noProof/>
          </w:rPr>
          <w:t>43</w:t>
        </w:r>
        <w:r>
          <w:rPr>
            <w:noProof/>
          </w:rPr>
          <w:fldChar w:fldCharType="end"/>
        </w:r>
      </w:hyperlink>
    </w:p>
    <w:p w14:paraId="6DA119D1" w14:textId="13ACF57F" w:rsidR="007C736D" w:rsidRDefault="00662CFB">
      <w:pPr>
        <w:pStyle w:val="13"/>
        <w:rPr>
          <w:rFonts w:asciiTheme="minorHAnsi" w:hAnsiTheme="minorHAnsi" w:cstheme="minorBidi"/>
          <w:noProof/>
          <w:kern w:val="2"/>
        </w:rPr>
      </w:pPr>
      <w:hyperlink w:anchor="_Toc136360680" w:history="1">
        <w:r>
          <w:rPr>
            <w:rStyle w:val="afb"/>
            <w:noProof/>
          </w:rPr>
          <w:t>第十一部分</w:t>
        </w:r>
        <w:r>
          <w:rPr>
            <w:rStyle w:val="afb"/>
            <w:noProof/>
          </w:rPr>
          <w:t xml:space="preserve">  </w:t>
        </w:r>
        <w:r>
          <w:rPr>
            <w:rStyle w:val="afb"/>
            <w:noProof/>
          </w:rPr>
          <w:t>基金份额的登记</w:t>
        </w:r>
        <w:r>
          <w:rPr>
            <w:noProof/>
          </w:rPr>
          <w:tab/>
        </w:r>
        <w:r>
          <w:rPr>
            <w:noProof/>
          </w:rPr>
          <w:fldChar w:fldCharType="begin"/>
        </w:r>
        <w:r>
          <w:rPr>
            <w:noProof/>
          </w:rPr>
          <w:instrText xml:space="preserve"> PAGEREF _Toc136360680 \h </w:instrText>
        </w:r>
        <w:r>
          <w:rPr>
            <w:noProof/>
          </w:rPr>
        </w:r>
        <w:r>
          <w:rPr>
            <w:noProof/>
          </w:rPr>
          <w:fldChar w:fldCharType="separate"/>
        </w:r>
        <w:r w:rsidR="00656073">
          <w:rPr>
            <w:noProof/>
          </w:rPr>
          <w:t>44</w:t>
        </w:r>
        <w:r>
          <w:rPr>
            <w:noProof/>
          </w:rPr>
          <w:fldChar w:fldCharType="end"/>
        </w:r>
      </w:hyperlink>
    </w:p>
    <w:p w14:paraId="6E4534C5" w14:textId="70FE9B2D" w:rsidR="007C736D" w:rsidRDefault="00662CFB">
      <w:pPr>
        <w:pStyle w:val="13"/>
        <w:rPr>
          <w:rFonts w:asciiTheme="minorHAnsi" w:hAnsiTheme="minorHAnsi" w:cstheme="minorBidi"/>
          <w:noProof/>
          <w:kern w:val="2"/>
        </w:rPr>
      </w:pPr>
      <w:hyperlink w:anchor="_Toc136360681" w:history="1">
        <w:r>
          <w:rPr>
            <w:rStyle w:val="afb"/>
            <w:noProof/>
          </w:rPr>
          <w:t>第十二部分</w:t>
        </w:r>
        <w:r>
          <w:rPr>
            <w:rStyle w:val="afb"/>
            <w:noProof/>
          </w:rPr>
          <w:t xml:space="preserve">  </w:t>
        </w:r>
        <w:r>
          <w:rPr>
            <w:rStyle w:val="afb"/>
            <w:noProof/>
          </w:rPr>
          <w:t>基金的投资</w:t>
        </w:r>
        <w:r>
          <w:rPr>
            <w:noProof/>
          </w:rPr>
          <w:tab/>
        </w:r>
        <w:r>
          <w:rPr>
            <w:noProof/>
          </w:rPr>
          <w:fldChar w:fldCharType="begin"/>
        </w:r>
        <w:r>
          <w:rPr>
            <w:noProof/>
          </w:rPr>
          <w:instrText xml:space="preserve"> PAGEREF _Toc136360681 \h </w:instrText>
        </w:r>
        <w:r>
          <w:rPr>
            <w:noProof/>
          </w:rPr>
        </w:r>
        <w:r>
          <w:rPr>
            <w:noProof/>
          </w:rPr>
          <w:fldChar w:fldCharType="separate"/>
        </w:r>
        <w:r w:rsidR="00656073">
          <w:rPr>
            <w:noProof/>
          </w:rPr>
          <w:t>46</w:t>
        </w:r>
        <w:r>
          <w:rPr>
            <w:noProof/>
          </w:rPr>
          <w:fldChar w:fldCharType="end"/>
        </w:r>
      </w:hyperlink>
    </w:p>
    <w:p w14:paraId="073E1976" w14:textId="286DC963" w:rsidR="007C736D" w:rsidRDefault="00662CFB">
      <w:pPr>
        <w:pStyle w:val="13"/>
        <w:rPr>
          <w:rFonts w:asciiTheme="minorHAnsi" w:hAnsiTheme="minorHAnsi" w:cstheme="minorBidi"/>
          <w:noProof/>
          <w:kern w:val="2"/>
        </w:rPr>
      </w:pPr>
      <w:hyperlink w:anchor="_Toc136360682" w:history="1">
        <w:r>
          <w:rPr>
            <w:rStyle w:val="afb"/>
            <w:noProof/>
          </w:rPr>
          <w:t>第十三部分</w:t>
        </w:r>
        <w:r>
          <w:rPr>
            <w:rStyle w:val="afb"/>
            <w:noProof/>
          </w:rPr>
          <w:t xml:space="preserve">  </w:t>
        </w:r>
        <w:r>
          <w:rPr>
            <w:rStyle w:val="afb"/>
            <w:noProof/>
          </w:rPr>
          <w:t>基金的财产</w:t>
        </w:r>
        <w:r>
          <w:rPr>
            <w:noProof/>
          </w:rPr>
          <w:tab/>
        </w:r>
        <w:r>
          <w:rPr>
            <w:noProof/>
          </w:rPr>
          <w:fldChar w:fldCharType="begin"/>
        </w:r>
        <w:r>
          <w:rPr>
            <w:noProof/>
          </w:rPr>
          <w:instrText xml:space="preserve"> PAGEREF _Toc136360682 \h </w:instrText>
        </w:r>
        <w:r>
          <w:rPr>
            <w:noProof/>
          </w:rPr>
        </w:r>
        <w:r>
          <w:rPr>
            <w:noProof/>
          </w:rPr>
          <w:fldChar w:fldCharType="separate"/>
        </w:r>
        <w:r w:rsidR="00656073">
          <w:rPr>
            <w:noProof/>
          </w:rPr>
          <w:t>56</w:t>
        </w:r>
        <w:r>
          <w:rPr>
            <w:noProof/>
          </w:rPr>
          <w:fldChar w:fldCharType="end"/>
        </w:r>
      </w:hyperlink>
    </w:p>
    <w:p w14:paraId="507B7C24" w14:textId="4BBC6B56" w:rsidR="007C736D" w:rsidRDefault="00662CFB">
      <w:pPr>
        <w:pStyle w:val="13"/>
        <w:rPr>
          <w:rFonts w:asciiTheme="minorHAnsi" w:hAnsiTheme="minorHAnsi" w:cstheme="minorBidi"/>
          <w:noProof/>
          <w:kern w:val="2"/>
        </w:rPr>
      </w:pPr>
      <w:hyperlink w:anchor="_Toc136360683" w:history="1">
        <w:r>
          <w:rPr>
            <w:rStyle w:val="afb"/>
            <w:noProof/>
          </w:rPr>
          <w:t>第十四部分</w:t>
        </w:r>
        <w:r>
          <w:rPr>
            <w:rStyle w:val="afb"/>
            <w:noProof/>
          </w:rPr>
          <w:t xml:space="preserve">  </w:t>
        </w:r>
        <w:r>
          <w:rPr>
            <w:rStyle w:val="afb"/>
            <w:noProof/>
          </w:rPr>
          <w:t>基金资产估值</w:t>
        </w:r>
        <w:r>
          <w:rPr>
            <w:noProof/>
          </w:rPr>
          <w:tab/>
        </w:r>
        <w:r>
          <w:rPr>
            <w:noProof/>
          </w:rPr>
          <w:fldChar w:fldCharType="begin"/>
        </w:r>
        <w:r>
          <w:rPr>
            <w:noProof/>
          </w:rPr>
          <w:instrText xml:space="preserve"> PAGEREF _Toc136360683 \h </w:instrText>
        </w:r>
        <w:r>
          <w:rPr>
            <w:noProof/>
          </w:rPr>
        </w:r>
        <w:r>
          <w:rPr>
            <w:noProof/>
          </w:rPr>
          <w:fldChar w:fldCharType="separate"/>
        </w:r>
        <w:r w:rsidR="00656073">
          <w:rPr>
            <w:noProof/>
          </w:rPr>
          <w:t>57</w:t>
        </w:r>
        <w:r>
          <w:rPr>
            <w:noProof/>
          </w:rPr>
          <w:fldChar w:fldCharType="end"/>
        </w:r>
      </w:hyperlink>
    </w:p>
    <w:p w14:paraId="2A958190" w14:textId="7EC4BAFA" w:rsidR="007C736D" w:rsidRDefault="00662CFB">
      <w:pPr>
        <w:pStyle w:val="13"/>
        <w:rPr>
          <w:rFonts w:asciiTheme="minorHAnsi" w:hAnsiTheme="minorHAnsi" w:cstheme="minorBidi"/>
          <w:noProof/>
          <w:kern w:val="2"/>
        </w:rPr>
      </w:pPr>
      <w:hyperlink w:anchor="_Toc136360684" w:history="1">
        <w:r>
          <w:rPr>
            <w:rStyle w:val="afb"/>
            <w:noProof/>
          </w:rPr>
          <w:t>第十五部分</w:t>
        </w:r>
        <w:r>
          <w:rPr>
            <w:rStyle w:val="afb"/>
            <w:noProof/>
          </w:rPr>
          <w:t xml:space="preserve">  </w:t>
        </w:r>
        <w:r>
          <w:rPr>
            <w:rStyle w:val="afb"/>
            <w:noProof/>
          </w:rPr>
          <w:t>基金费用与税收</w:t>
        </w:r>
        <w:r>
          <w:rPr>
            <w:noProof/>
          </w:rPr>
          <w:tab/>
        </w:r>
        <w:r>
          <w:rPr>
            <w:noProof/>
          </w:rPr>
          <w:fldChar w:fldCharType="begin"/>
        </w:r>
        <w:r>
          <w:rPr>
            <w:noProof/>
          </w:rPr>
          <w:instrText xml:space="preserve"> PAGEREF _Toc136360684 \h </w:instrText>
        </w:r>
        <w:r>
          <w:rPr>
            <w:noProof/>
          </w:rPr>
        </w:r>
        <w:r>
          <w:rPr>
            <w:noProof/>
          </w:rPr>
          <w:fldChar w:fldCharType="separate"/>
        </w:r>
        <w:r w:rsidR="00656073">
          <w:rPr>
            <w:noProof/>
          </w:rPr>
          <w:t>64</w:t>
        </w:r>
        <w:r>
          <w:rPr>
            <w:noProof/>
          </w:rPr>
          <w:fldChar w:fldCharType="end"/>
        </w:r>
      </w:hyperlink>
    </w:p>
    <w:p w14:paraId="2B4AA55C" w14:textId="4AF026AB" w:rsidR="007C736D" w:rsidRDefault="00662CFB">
      <w:pPr>
        <w:pStyle w:val="13"/>
        <w:rPr>
          <w:rFonts w:asciiTheme="minorHAnsi" w:hAnsiTheme="minorHAnsi" w:cstheme="minorBidi"/>
          <w:noProof/>
          <w:kern w:val="2"/>
        </w:rPr>
      </w:pPr>
      <w:hyperlink w:anchor="_Toc136360685" w:history="1">
        <w:r>
          <w:rPr>
            <w:rStyle w:val="afb"/>
            <w:noProof/>
          </w:rPr>
          <w:t>第十六部分</w:t>
        </w:r>
        <w:r>
          <w:rPr>
            <w:rStyle w:val="afb"/>
            <w:noProof/>
          </w:rPr>
          <w:t xml:space="preserve">  </w:t>
        </w:r>
        <w:r>
          <w:rPr>
            <w:rStyle w:val="afb"/>
            <w:noProof/>
          </w:rPr>
          <w:t>基金的收益与分配</w:t>
        </w:r>
        <w:r>
          <w:rPr>
            <w:noProof/>
          </w:rPr>
          <w:tab/>
        </w:r>
        <w:r>
          <w:rPr>
            <w:noProof/>
          </w:rPr>
          <w:fldChar w:fldCharType="begin"/>
        </w:r>
        <w:r>
          <w:rPr>
            <w:noProof/>
          </w:rPr>
          <w:instrText xml:space="preserve"> PAGEREF _Toc136360685 \h </w:instrText>
        </w:r>
        <w:r>
          <w:rPr>
            <w:noProof/>
          </w:rPr>
        </w:r>
        <w:r>
          <w:rPr>
            <w:noProof/>
          </w:rPr>
          <w:fldChar w:fldCharType="separate"/>
        </w:r>
        <w:r w:rsidR="00656073">
          <w:rPr>
            <w:noProof/>
          </w:rPr>
          <w:t>67</w:t>
        </w:r>
        <w:r>
          <w:rPr>
            <w:noProof/>
          </w:rPr>
          <w:fldChar w:fldCharType="end"/>
        </w:r>
      </w:hyperlink>
    </w:p>
    <w:p w14:paraId="4BDE436C" w14:textId="3471345D" w:rsidR="007C736D" w:rsidRDefault="00662CFB">
      <w:pPr>
        <w:pStyle w:val="13"/>
        <w:rPr>
          <w:rFonts w:asciiTheme="minorHAnsi" w:hAnsiTheme="minorHAnsi" w:cstheme="minorBidi"/>
          <w:noProof/>
          <w:kern w:val="2"/>
        </w:rPr>
      </w:pPr>
      <w:hyperlink w:anchor="_Toc136360686" w:history="1">
        <w:r>
          <w:rPr>
            <w:rStyle w:val="afb"/>
            <w:noProof/>
          </w:rPr>
          <w:t>第十七部分</w:t>
        </w:r>
        <w:r>
          <w:rPr>
            <w:rStyle w:val="afb"/>
            <w:noProof/>
          </w:rPr>
          <w:t xml:space="preserve">  </w:t>
        </w:r>
        <w:r>
          <w:rPr>
            <w:rStyle w:val="afb"/>
            <w:noProof/>
          </w:rPr>
          <w:t>基金的会计与审计</w:t>
        </w:r>
        <w:r>
          <w:rPr>
            <w:noProof/>
          </w:rPr>
          <w:tab/>
        </w:r>
        <w:r>
          <w:rPr>
            <w:noProof/>
          </w:rPr>
          <w:fldChar w:fldCharType="begin"/>
        </w:r>
        <w:r>
          <w:rPr>
            <w:noProof/>
          </w:rPr>
          <w:instrText xml:space="preserve"> PAGEREF _Toc136360686 \h </w:instrText>
        </w:r>
        <w:r>
          <w:rPr>
            <w:noProof/>
          </w:rPr>
        </w:r>
        <w:r>
          <w:rPr>
            <w:noProof/>
          </w:rPr>
          <w:fldChar w:fldCharType="separate"/>
        </w:r>
        <w:r w:rsidR="00656073">
          <w:rPr>
            <w:noProof/>
          </w:rPr>
          <w:t>69</w:t>
        </w:r>
        <w:r>
          <w:rPr>
            <w:noProof/>
          </w:rPr>
          <w:fldChar w:fldCharType="end"/>
        </w:r>
      </w:hyperlink>
    </w:p>
    <w:p w14:paraId="0F39B4B1" w14:textId="4A57593C" w:rsidR="007C736D" w:rsidRDefault="00662CFB">
      <w:pPr>
        <w:pStyle w:val="13"/>
        <w:rPr>
          <w:rFonts w:asciiTheme="minorHAnsi" w:hAnsiTheme="minorHAnsi" w:cstheme="minorBidi"/>
          <w:noProof/>
          <w:kern w:val="2"/>
        </w:rPr>
      </w:pPr>
      <w:hyperlink w:anchor="_Toc136360687" w:history="1">
        <w:r>
          <w:rPr>
            <w:rStyle w:val="afb"/>
            <w:rFonts w:ascii="宋体"/>
            <w:noProof/>
          </w:rPr>
          <w:t>第十八部分</w:t>
        </w:r>
        <w:r>
          <w:rPr>
            <w:rStyle w:val="afb"/>
            <w:rFonts w:ascii="宋体"/>
            <w:noProof/>
          </w:rPr>
          <w:t xml:space="preserve">  </w:t>
        </w:r>
        <w:r>
          <w:rPr>
            <w:rStyle w:val="afb"/>
            <w:rFonts w:ascii="宋体"/>
            <w:noProof/>
          </w:rPr>
          <w:t>基金的信息披露</w:t>
        </w:r>
        <w:r>
          <w:rPr>
            <w:noProof/>
          </w:rPr>
          <w:tab/>
        </w:r>
        <w:r>
          <w:rPr>
            <w:noProof/>
          </w:rPr>
          <w:fldChar w:fldCharType="begin"/>
        </w:r>
        <w:r>
          <w:rPr>
            <w:noProof/>
          </w:rPr>
          <w:instrText xml:space="preserve"> PAGEREF _Toc136360687 \h </w:instrText>
        </w:r>
        <w:r>
          <w:rPr>
            <w:noProof/>
          </w:rPr>
        </w:r>
        <w:r>
          <w:rPr>
            <w:noProof/>
          </w:rPr>
          <w:fldChar w:fldCharType="separate"/>
        </w:r>
        <w:r w:rsidR="00656073">
          <w:rPr>
            <w:noProof/>
          </w:rPr>
          <w:t>70</w:t>
        </w:r>
        <w:r>
          <w:rPr>
            <w:noProof/>
          </w:rPr>
          <w:fldChar w:fldCharType="end"/>
        </w:r>
      </w:hyperlink>
    </w:p>
    <w:p w14:paraId="62B95AFE" w14:textId="4DCACCE5" w:rsidR="007C736D" w:rsidRDefault="00662CFB">
      <w:pPr>
        <w:pStyle w:val="13"/>
        <w:rPr>
          <w:rFonts w:asciiTheme="minorHAnsi" w:hAnsiTheme="minorHAnsi" w:cstheme="minorBidi"/>
          <w:noProof/>
          <w:kern w:val="2"/>
        </w:rPr>
      </w:pPr>
      <w:hyperlink w:anchor="_Toc136360688" w:history="1">
        <w:r>
          <w:rPr>
            <w:rStyle w:val="afb"/>
            <w:noProof/>
          </w:rPr>
          <w:t>第十九部分</w:t>
        </w:r>
        <w:r>
          <w:rPr>
            <w:rStyle w:val="afb"/>
            <w:noProof/>
          </w:rPr>
          <w:t xml:space="preserve">  </w:t>
        </w:r>
        <w:r>
          <w:rPr>
            <w:rStyle w:val="afb"/>
            <w:noProof/>
          </w:rPr>
          <w:t>基金合同的变更、终止与基金财产的清算</w:t>
        </w:r>
        <w:r>
          <w:rPr>
            <w:noProof/>
          </w:rPr>
          <w:tab/>
        </w:r>
        <w:r>
          <w:rPr>
            <w:noProof/>
          </w:rPr>
          <w:fldChar w:fldCharType="begin"/>
        </w:r>
        <w:r>
          <w:rPr>
            <w:noProof/>
          </w:rPr>
          <w:instrText xml:space="preserve"> PAGEREF _Toc136360688 \h </w:instrText>
        </w:r>
        <w:r>
          <w:rPr>
            <w:noProof/>
          </w:rPr>
        </w:r>
        <w:r>
          <w:rPr>
            <w:noProof/>
          </w:rPr>
          <w:fldChar w:fldCharType="separate"/>
        </w:r>
        <w:r w:rsidR="00656073">
          <w:rPr>
            <w:noProof/>
          </w:rPr>
          <w:t>78</w:t>
        </w:r>
        <w:r>
          <w:rPr>
            <w:noProof/>
          </w:rPr>
          <w:fldChar w:fldCharType="end"/>
        </w:r>
      </w:hyperlink>
    </w:p>
    <w:p w14:paraId="13D4A7B4" w14:textId="38BB484D" w:rsidR="007C736D" w:rsidRDefault="00662CFB">
      <w:pPr>
        <w:pStyle w:val="13"/>
        <w:rPr>
          <w:rFonts w:asciiTheme="minorHAnsi" w:hAnsiTheme="minorHAnsi" w:cstheme="minorBidi"/>
          <w:noProof/>
          <w:kern w:val="2"/>
        </w:rPr>
      </w:pPr>
      <w:hyperlink w:anchor="_Toc136360689" w:history="1">
        <w:r>
          <w:rPr>
            <w:rStyle w:val="afb"/>
            <w:noProof/>
          </w:rPr>
          <w:t>第二十部分</w:t>
        </w:r>
        <w:r>
          <w:rPr>
            <w:rStyle w:val="afb"/>
            <w:noProof/>
          </w:rPr>
          <w:t xml:space="preserve">  </w:t>
        </w:r>
        <w:r>
          <w:rPr>
            <w:rStyle w:val="afb"/>
            <w:noProof/>
          </w:rPr>
          <w:t>违约责任</w:t>
        </w:r>
        <w:r>
          <w:rPr>
            <w:noProof/>
          </w:rPr>
          <w:tab/>
        </w:r>
        <w:r>
          <w:rPr>
            <w:noProof/>
          </w:rPr>
          <w:fldChar w:fldCharType="begin"/>
        </w:r>
        <w:r>
          <w:rPr>
            <w:noProof/>
          </w:rPr>
          <w:instrText xml:space="preserve"> PAGEREF _Toc136360689 \h </w:instrText>
        </w:r>
        <w:r>
          <w:rPr>
            <w:noProof/>
          </w:rPr>
        </w:r>
        <w:r>
          <w:rPr>
            <w:noProof/>
          </w:rPr>
          <w:fldChar w:fldCharType="separate"/>
        </w:r>
        <w:r w:rsidR="00656073">
          <w:rPr>
            <w:noProof/>
          </w:rPr>
          <w:t>80</w:t>
        </w:r>
        <w:r>
          <w:rPr>
            <w:noProof/>
          </w:rPr>
          <w:fldChar w:fldCharType="end"/>
        </w:r>
      </w:hyperlink>
    </w:p>
    <w:p w14:paraId="5F8DAA5E" w14:textId="0F5C2DB0" w:rsidR="007C736D" w:rsidRDefault="00662CFB">
      <w:pPr>
        <w:pStyle w:val="13"/>
        <w:rPr>
          <w:rFonts w:asciiTheme="minorHAnsi" w:hAnsiTheme="minorHAnsi" w:cstheme="minorBidi"/>
          <w:noProof/>
          <w:kern w:val="2"/>
        </w:rPr>
      </w:pPr>
      <w:hyperlink w:anchor="_Toc136360690" w:history="1">
        <w:r>
          <w:rPr>
            <w:rStyle w:val="afb"/>
            <w:noProof/>
          </w:rPr>
          <w:t>第二十一部分</w:t>
        </w:r>
        <w:r>
          <w:rPr>
            <w:rStyle w:val="afb"/>
            <w:noProof/>
          </w:rPr>
          <w:t xml:space="preserve">  </w:t>
        </w:r>
        <w:r>
          <w:rPr>
            <w:rStyle w:val="afb"/>
            <w:noProof/>
          </w:rPr>
          <w:t>争议的处理和适用的法律</w:t>
        </w:r>
        <w:r>
          <w:rPr>
            <w:noProof/>
          </w:rPr>
          <w:tab/>
        </w:r>
        <w:r>
          <w:rPr>
            <w:noProof/>
          </w:rPr>
          <w:fldChar w:fldCharType="begin"/>
        </w:r>
        <w:r>
          <w:rPr>
            <w:noProof/>
          </w:rPr>
          <w:instrText xml:space="preserve"> PAGEREF _Toc136360690 \h </w:instrText>
        </w:r>
        <w:r>
          <w:rPr>
            <w:noProof/>
          </w:rPr>
        </w:r>
        <w:r>
          <w:rPr>
            <w:noProof/>
          </w:rPr>
          <w:fldChar w:fldCharType="separate"/>
        </w:r>
        <w:r w:rsidR="00656073">
          <w:rPr>
            <w:noProof/>
          </w:rPr>
          <w:t>81</w:t>
        </w:r>
        <w:r>
          <w:rPr>
            <w:noProof/>
          </w:rPr>
          <w:fldChar w:fldCharType="end"/>
        </w:r>
      </w:hyperlink>
    </w:p>
    <w:p w14:paraId="4CD5BFA6" w14:textId="7A0E0D8C" w:rsidR="007C736D" w:rsidRDefault="00662CFB">
      <w:pPr>
        <w:pStyle w:val="13"/>
        <w:rPr>
          <w:rFonts w:asciiTheme="minorHAnsi" w:hAnsiTheme="minorHAnsi" w:cstheme="minorBidi"/>
          <w:noProof/>
          <w:kern w:val="2"/>
        </w:rPr>
      </w:pPr>
      <w:hyperlink w:anchor="_Toc136360691" w:history="1">
        <w:r>
          <w:rPr>
            <w:rStyle w:val="afb"/>
            <w:noProof/>
          </w:rPr>
          <w:t>第二十二部分</w:t>
        </w:r>
        <w:r>
          <w:rPr>
            <w:rStyle w:val="afb"/>
            <w:noProof/>
          </w:rPr>
          <w:t xml:space="preserve">  </w:t>
        </w:r>
        <w:r>
          <w:rPr>
            <w:rStyle w:val="afb"/>
            <w:noProof/>
          </w:rPr>
          <w:t>基金合同的效力</w:t>
        </w:r>
        <w:r>
          <w:rPr>
            <w:noProof/>
          </w:rPr>
          <w:tab/>
        </w:r>
        <w:r>
          <w:rPr>
            <w:noProof/>
          </w:rPr>
          <w:fldChar w:fldCharType="begin"/>
        </w:r>
        <w:r>
          <w:rPr>
            <w:noProof/>
          </w:rPr>
          <w:instrText xml:space="preserve"> PAGEREF _Toc136360691 \h </w:instrText>
        </w:r>
        <w:r>
          <w:rPr>
            <w:noProof/>
          </w:rPr>
        </w:r>
        <w:r>
          <w:rPr>
            <w:noProof/>
          </w:rPr>
          <w:fldChar w:fldCharType="separate"/>
        </w:r>
        <w:r w:rsidR="00656073">
          <w:rPr>
            <w:noProof/>
          </w:rPr>
          <w:t>82</w:t>
        </w:r>
        <w:r>
          <w:rPr>
            <w:noProof/>
          </w:rPr>
          <w:fldChar w:fldCharType="end"/>
        </w:r>
      </w:hyperlink>
    </w:p>
    <w:p w14:paraId="436B11C7" w14:textId="27D4B94D" w:rsidR="007C736D" w:rsidRDefault="00662CFB">
      <w:pPr>
        <w:pStyle w:val="13"/>
        <w:rPr>
          <w:rFonts w:asciiTheme="minorHAnsi" w:hAnsiTheme="minorHAnsi" w:cstheme="minorBidi"/>
          <w:noProof/>
          <w:kern w:val="2"/>
        </w:rPr>
      </w:pPr>
      <w:hyperlink w:anchor="_Toc136360692" w:history="1">
        <w:r>
          <w:rPr>
            <w:rStyle w:val="afb"/>
            <w:noProof/>
          </w:rPr>
          <w:t>第二十三部分</w:t>
        </w:r>
        <w:r>
          <w:rPr>
            <w:rStyle w:val="afb"/>
            <w:noProof/>
          </w:rPr>
          <w:t xml:space="preserve">  </w:t>
        </w:r>
        <w:r>
          <w:rPr>
            <w:rStyle w:val="afb"/>
            <w:noProof/>
          </w:rPr>
          <w:t>其他事项</w:t>
        </w:r>
        <w:r>
          <w:rPr>
            <w:noProof/>
          </w:rPr>
          <w:tab/>
        </w:r>
        <w:r>
          <w:rPr>
            <w:noProof/>
          </w:rPr>
          <w:fldChar w:fldCharType="begin"/>
        </w:r>
        <w:r>
          <w:rPr>
            <w:noProof/>
          </w:rPr>
          <w:instrText xml:space="preserve"> PAGEREF _Toc136360692 \h </w:instrText>
        </w:r>
        <w:r>
          <w:rPr>
            <w:noProof/>
          </w:rPr>
        </w:r>
        <w:r>
          <w:rPr>
            <w:noProof/>
          </w:rPr>
          <w:fldChar w:fldCharType="separate"/>
        </w:r>
        <w:r w:rsidR="00656073">
          <w:rPr>
            <w:noProof/>
          </w:rPr>
          <w:t>83</w:t>
        </w:r>
        <w:r>
          <w:rPr>
            <w:noProof/>
          </w:rPr>
          <w:fldChar w:fldCharType="end"/>
        </w:r>
      </w:hyperlink>
    </w:p>
    <w:p w14:paraId="00466D3B" w14:textId="5C5E5723" w:rsidR="007C736D" w:rsidRDefault="00662CFB">
      <w:pPr>
        <w:pStyle w:val="13"/>
        <w:rPr>
          <w:rFonts w:asciiTheme="minorHAnsi" w:hAnsiTheme="minorHAnsi" w:cstheme="minorBidi"/>
          <w:noProof/>
          <w:kern w:val="2"/>
        </w:rPr>
      </w:pPr>
      <w:hyperlink w:anchor="_Toc136360693" w:history="1">
        <w:r>
          <w:rPr>
            <w:rStyle w:val="afb"/>
            <w:noProof/>
          </w:rPr>
          <w:t>第二十四部分</w:t>
        </w:r>
        <w:r>
          <w:rPr>
            <w:rStyle w:val="afb"/>
            <w:noProof/>
          </w:rPr>
          <w:t xml:space="preserve">  </w:t>
        </w:r>
        <w:r>
          <w:rPr>
            <w:rStyle w:val="afb"/>
            <w:noProof/>
          </w:rPr>
          <w:t>基金合同内容摘要</w:t>
        </w:r>
        <w:r>
          <w:rPr>
            <w:noProof/>
          </w:rPr>
          <w:tab/>
        </w:r>
        <w:r>
          <w:rPr>
            <w:noProof/>
          </w:rPr>
          <w:fldChar w:fldCharType="begin"/>
        </w:r>
        <w:r>
          <w:rPr>
            <w:noProof/>
          </w:rPr>
          <w:instrText xml:space="preserve"> PAGEREF _Toc136360693 \h </w:instrText>
        </w:r>
        <w:r>
          <w:rPr>
            <w:noProof/>
          </w:rPr>
        </w:r>
        <w:r>
          <w:rPr>
            <w:noProof/>
          </w:rPr>
          <w:fldChar w:fldCharType="separate"/>
        </w:r>
        <w:r w:rsidR="00656073">
          <w:rPr>
            <w:noProof/>
          </w:rPr>
          <w:t>84</w:t>
        </w:r>
        <w:r>
          <w:rPr>
            <w:noProof/>
          </w:rPr>
          <w:fldChar w:fldCharType="end"/>
        </w:r>
      </w:hyperlink>
    </w:p>
    <w:p w14:paraId="1038FD68" w14:textId="77777777" w:rsidR="007C736D" w:rsidRDefault="00662CFB">
      <w:pPr>
        <w:pStyle w:val="1110"/>
        <w:spacing w:before="0" w:after="0"/>
        <w:jc w:val="left"/>
        <w:rPr>
          <w:rFonts w:ascii="Times New Roman"/>
          <w:b w:val="0"/>
          <w:color w:val="auto"/>
        </w:rPr>
        <w:sectPr w:rsidR="007C736D">
          <w:headerReference w:type="default" r:id="rId11"/>
          <w:pgSz w:w="11906" w:h="16838"/>
          <w:pgMar w:top="1440" w:right="1800" w:bottom="1440" w:left="1800" w:header="851" w:footer="992" w:gutter="0"/>
          <w:pgNumType w:start="1"/>
          <w:cols w:space="720"/>
          <w:docGrid w:type="lines" w:linePitch="312"/>
        </w:sectPr>
      </w:pPr>
      <w:r>
        <w:rPr>
          <w:rFonts w:ascii="Times New Roman"/>
          <w:b w:val="0"/>
          <w:color w:val="auto"/>
        </w:rPr>
        <w:fldChar w:fldCharType="end"/>
      </w:r>
      <w:bookmarkStart w:id="20" w:name="_Toc23386"/>
      <w:bookmarkStart w:id="21" w:name="_Toc15517"/>
      <w:bookmarkStart w:id="22" w:name="_Toc32639"/>
      <w:bookmarkStart w:id="23" w:name="_Toc30935"/>
      <w:bookmarkStart w:id="24" w:name="_Toc6306"/>
      <w:bookmarkStart w:id="25" w:name="_Toc4966"/>
      <w:bookmarkStart w:id="26" w:name="_Toc26897"/>
      <w:bookmarkStart w:id="27" w:name="_Toc141703880"/>
      <w:bookmarkStart w:id="28" w:name="_Toc139991730"/>
      <w:bookmarkStart w:id="29" w:name="_Toc29629"/>
      <w:bookmarkStart w:id="30" w:name="_Toc8727"/>
      <w:bookmarkStart w:id="31" w:name="_Toc4867"/>
      <w:bookmarkStart w:id="32" w:name="_Toc123112268"/>
      <w:bookmarkStart w:id="33" w:name="_Toc123112229"/>
      <w:bookmarkStart w:id="34" w:name="_Toc123701389"/>
      <w:bookmarkStart w:id="35" w:name="_Toc233456271"/>
    </w:p>
    <w:p w14:paraId="560C509C" w14:textId="77777777" w:rsidR="007C736D" w:rsidRDefault="00662CFB">
      <w:pPr>
        <w:pStyle w:val="1110"/>
        <w:spacing w:before="0" w:after="0"/>
        <w:jc w:val="center"/>
        <w:rPr>
          <w:rFonts w:ascii="Times New Roman"/>
          <w:b w:val="0"/>
          <w:color w:val="auto"/>
          <w:sz w:val="30"/>
        </w:rPr>
      </w:pPr>
      <w:bookmarkStart w:id="36" w:name="_Toc25072210"/>
      <w:bookmarkStart w:id="37" w:name="_Toc136360670"/>
      <w:r>
        <w:rPr>
          <w:rFonts w:ascii="Times New Roman" w:hint="eastAsia"/>
          <w:b w:val="0"/>
          <w:color w:val="auto"/>
          <w:sz w:val="30"/>
        </w:rPr>
        <w:lastRenderedPageBreak/>
        <w:t>第一部分</w:t>
      </w:r>
      <w:r>
        <w:rPr>
          <w:rFonts w:ascii="Times New Roman"/>
          <w:b w:val="0"/>
          <w:color w:val="auto"/>
          <w:sz w:val="30"/>
        </w:rPr>
        <w:t xml:space="preserve"> </w:t>
      </w:r>
      <w:r>
        <w:rPr>
          <w:rFonts w:ascii="Times New Roman" w:hint="eastAsia"/>
          <w:b w:val="0"/>
          <w:color w:val="auto"/>
          <w:sz w:val="30"/>
        </w:rPr>
        <w:t xml:space="preserve"> </w:t>
      </w:r>
      <w:r>
        <w:rPr>
          <w:rFonts w:ascii="Times New Roman" w:hint="eastAsia"/>
          <w:b w:val="0"/>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bookmarkEnd w:id="37"/>
    </w:p>
    <w:p w14:paraId="28E9C933" w14:textId="77777777" w:rsidR="007C736D" w:rsidRDefault="007C736D">
      <w:pPr>
        <w:rPr>
          <w:bCs/>
        </w:rPr>
      </w:pPr>
      <w:bookmarkStart w:id="38" w:name="_Toc139991731"/>
    </w:p>
    <w:p w14:paraId="7ED77640" w14:textId="77777777" w:rsidR="007C736D" w:rsidRDefault="00662CFB">
      <w:pPr>
        <w:spacing w:line="360" w:lineRule="auto"/>
        <w:ind w:firstLine="480"/>
        <w:rPr>
          <w:bCs/>
          <w:sz w:val="24"/>
        </w:rPr>
      </w:pPr>
      <w:bookmarkStart w:id="39" w:name="_Toc258829399"/>
      <w:bookmarkEnd w:id="32"/>
      <w:bookmarkEnd w:id="33"/>
      <w:bookmarkEnd w:id="34"/>
      <w:bookmarkEnd w:id="38"/>
      <w:r>
        <w:rPr>
          <w:rFonts w:hint="eastAsia"/>
          <w:bCs/>
          <w:sz w:val="24"/>
        </w:rPr>
        <w:t>一、</w:t>
      </w:r>
      <w:r>
        <w:rPr>
          <w:bCs/>
          <w:sz w:val="24"/>
        </w:rPr>
        <w:t>订立本基金合同的目的、依据和原则</w:t>
      </w:r>
    </w:p>
    <w:p w14:paraId="6F53642F" w14:textId="77777777" w:rsidR="007C736D" w:rsidRDefault="00662CFB">
      <w:pPr>
        <w:spacing w:line="360" w:lineRule="auto"/>
        <w:ind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3B8308CE" w14:textId="77777777" w:rsidR="007C736D" w:rsidRDefault="00662CFB">
      <w:pPr>
        <w:spacing w:line="360" w:lineRule="auto"/>
        <w:ind w:firstLine="480"/>
        <w:rPr>
          <w:bCs/>
          <w:sz w:val="24"/>
        </w:rPr>
      </w:pPr>
      <w:r>
        <w:rPr>
          <w:bCs/>
          <w:sz w:val="24"/>
        </w:rPr>
        <w:t>2</w:t>
      </w:r>
      <w:r>
        <w:rPr>
          <w:rFonts w:hint="eastAsia"/>
          <w:bCs/>
          <w:sz w:val="24"/>
        </w:rPr>
        <w:t>、</w:t>
      </w:r>
      <w:r>
        <w:rPr>
          <w:bCs/>
          <w:sz w:val="24"/>
        </w:rPr>
        <w:t>订立本基金合同的依据是《中华人民共和国</w:t>
      </w:r>
      <w:r>
        <w:rPr>
          <w:rFonts w:hint="eastAsia"/>
          <w:bCs/>
          <w:sz w:val="24"/>
        </w:rPr>
        <w:t>民法典</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w:t>
      </w:r>
      <w:r>
        <w:rPr>
          <w:rFonts w:hint="eastAsia"/>
          <w:bCs/>
          <w:sz w:val="24"/>
        </w:rPr>
        <w:t>公开募集证券投资基金销售机构监督管理办法</w:t>
      </w:r>
      <w:r>
        <w:rPr>
          <w:bCs/>
          <w:sz w:val="24"/>
        </w:rPr>
        <w:t>》</w:t>
      </w:r>
      <w:r>
        <w:rPr>
          <w:bCs/>
          <w:sz w:val="24"/>
        </w:rPr>
        <w:t>(</w:t>
      </w:r>
      <w:r>
        <w:rPr>
          <w:bCs/>
          <w:sz w:val="24"/>
        </w:rPr>
        <w:t>以下简称</w:t>
      </w:r>
      <w:r>
        <w:rPr>
          <w:bCs/>
          <w:sz w:val="24"/>
        </w:rPr>
        <w:t>“</w:t>
      </w:r>
      <w:r>
        <w:rPr>
          <w:bCs/>
          <w:sz w:val="24"/>
        </w:rPr>
        <w:t>《销售办法》</w:t>
      </w:r>
      <w:r>
        <w:rPr>
          <w:bCs/>
          <w:sz w:val="24"/>
        </w:rPr>
        <w:t>”)</w:t>
      </w:r>
      <w:r>
        <w:rPr>
          <w:bCs/>
          <w:sz w:val="24"/>
        </w:rPr>
        <w:t>、《</w:t>
      </w:r>
      <w:r>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rFonts w:hint="eastAsia"/>
          <w:bCs/>
          <w:sz w:val="24"/>
        </w:rPr>
        <w:t>、《公开募集开放式证券投资基金流动性风险管理规定》（以下简称“《流动性风险管理规定》”）</w:t>
      </w:r>
      <w:r>
        <w:rPr>
          <w:bCs/>
          <w:sz w:val="24"/>
        </w:rPr>
        <w:t>和其他有关法律法规。</w:t>
      </w:r>
    </w:p>
    <w:p w14:paraId="78F9704C" w14:textId="77777777" w:rsidR="007C736D" w:rsidRDefault="00662CFB">
      <w:pPr>
        <w:spacing w:line="360" w:lineRule="auto"/>
        <w:ind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0F682BB2" w14:textId="77777777" w:rsidR="007C736D" w:rsidRDefault="00662CFB">
      <w:pPr>
        <w:spacing w:line="360" w:lineRule="auto"/>
        <w:ind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0596745" w14:textId="77777777" w:rsidR="007C736D" w:rsidRDefault="00662CFB">
      <w:pPr>
        <w:spacing w:line="360" w:lineRule="auto"/>
        <w:ind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w:t>
      </w:r>
      <w:r>
        <w:rPr>
          <w:bCs/>
          <w:sz w:val="24"/>
        </w:rPr>
        <w:t>基金合同的承认和接受。</w:t>
      </w:r>
    </w:p>
    <w:p w14:paraId="68630158" w14:textId="77777777" w:rsidR="007C736D" w:rsidRDefault="00662CFB">
      <w:pPr>
        <w:spacing w:line="360" w:lineRule="auto"/>
        <w:ind w:firstLine="480"/>
        <w:rPr>
          <w:bCs/>
          <w:sz w:val="24"/>
        </w:rPr>
      </w:pPr>
      <w:r>
        <w:rPr>
          <w:rFonts w:hint="eastAsia"/>
          <w:bCs/>
          <w:sz w:val="24"/>
        </w:rPr>
        <w:t>三、平安港股通科技精选混合型证券投资基金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5B9EF8FE" w14:textId="77777777" w:rsidR="007C736D" w:rsidRDefault="00662CFB">
      <w:pPr>
        <w:spacing w:line="360" w:lineRule="auto"/>
        <w:ind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6BA82F9F" w14:textId="77777777" w:rsidR="007C736D" w:rsidRDefault="00662CFB">
      <w:pPr>
        <w:spacing w:line="360" w:lineRule="auto"/>
        <w:ind w:firstLine="480"/>
        <w:rPr>
          <w:bCs/>
          <w:sz w:val="24"/>
        </w:rPr>
      </w:pPr>
      <w:r>
        <w:rPr>
          <w:bCs/>
          <w:sz w:val="24"/>
        </w:rPr>
        <w:t>基金管理人依照恪尽职守、诚实信用、谨慎勤勉的原则管理和运用基金财产，但不保证投资于本基金一定盈利，也不保证最低收益。</w:t>
      </w:r>
    </w:p>
    <w:p w14:paraId="1B3AE52C" w14:textId="77777777" w:rsidR="007C736D" w:rsidRDefault="00662CFB">
      <w:pPr>
        <w:spacing w:line="360" w:lineRule="auto"/>
        <w:ind w:firstLine="480"/>
        <w:rPr>
          <w:bCs/>
          <w:sz w:val="24"/>
        </w:rPr>
      </w:pPr>
      <w:r>
        <w:rPr>
          <w:rFonts w:hint="eastAsia"/>
          <w:bCs/>
          <w:sz w:val="24"/>
        </w:rPr>
        <w:t>投资者应当认真阅读基金招募说明书、基金合同、</w:t>
      </w:r>
      <w:r>
        <w:rPr>
          <w:bCs/>
          <w:sz w:val="24"/>
        </w:rPr>
        <w:t>基金产品资料概要</w:t>
      </w:r>
      <w:r>
        <w:rPr>
          <w:rFonts w:hint="eastAsia"/>
          <w:bCs/>
          <w:sz w:val="24"/>
        </w:rPr>
        <w:t>等信息披露文件，自主判断基金的投</w:t>
      </w:r>
      <w:r>
        <w:rPr>
          <w:rFonts w:hint="eastAsia"/>
          <w:bCs/>
          <w:sz w:val="24"/>
        </w:rPr>
        <w:t>资价值，自主做出投资决策，自行承担投资风</w:t>
      </w:r>
      <w:r>
        <w:rPr>
          <w:rFonts w:hint="eastAsia"/>
          <w:bCs/>
          <w:sz w:val="24"/>
        </w:rPr>
        <w:lastRenderedPageBreak/>
        <w:t>险。</w:t>
      </w:r>
    </w:p>
    <w:p w14:paraId="55493D3D" w14:textId="77777777" w:rsidR="007C736D" w:rsidRDefault="00662CFB">
      <w:pPr>
        <w:spacing w:line="360" w:lineRule="auto"/>
        <w:ind w:firstLine="480"/>
        <w:rPr>
          <w:bCs/>
          <w:sz w:val="24"/>
        </w:rPr>
      </w:pPr>
      <w:r>
        <w:rPr>
          <w:rFonts w:hint="eastAsia"/>
          <w:bCs/>
          <w:sz w:val="24"/>
        </w:rPr>
        <w:t>四、</w:t>
      </w:r>
      <w:r>
        <w:rPr>
          <w:bCs/>
          <w:sz w:val="24"/>
        </w:rPr>
        <w:t>基金管理人、基金托管人在本基金合同之外披露涉及本基金的信息，其内容涉及界定基金合同当事人之间权利义务关系的，如与基金合同有冲突，以基金合同为准。</w:t>
      </w:r>
      <w:r>
        <w:rPr>
          <w:rFonts w:hint="eastAsia"/>
          <w:bCs/>
          <w:sz w:val="24"/>
        </w:rPr>
        <w:t xml:space="preserve"> </w:t>
      </w:r>
    </w:p>
    <w:p w14:paraId="28C551FF" w14:textId="77777777" w:rsidR="007C736D" w:rsidRDefault="00662CFB">
      <w:pPr>
        <w:spacing w:line="360" w:lineRule="auto"/>
        <w:ind w:firstLine="480"/>
        <w:rPr>
          <w:bCs/>
          <w:sz w:val="24"/>
        </w:rPr>
      </w:pPr>
      <w:r>
        <w:rPr>
          <w:rFonts w:hint="eastAsia"/>
          <w:bCs/>
          <w:sz w:val="24"/>
        </w:rPr>
        <w:t>五、本基金按照中国法律法规成立并运作，若</w:t>
      </w:r>
      <w:r>
        <w:rPr>
          <w:bCs/>
          <w:sz w:val="24"/>
        </w:rPr>
        <w:t>基金合同的内容与届时有效的法律法规的强制性规定不一致，应当以届时有效的法律法规的规定为准。</w:t>
      </w:r>
    </w:p>
    <w:p w14:paraId="2320C322" w14:textId="77777777" w:rsidR="007C736D" w:rsidRDefault="00662CFB">
      <w:pPr>
        <w:spacing w:line="360" w:lineRule="auto"/>
        <w:ind w:firstLine="480"/>
        <w:rPr>
          <w:bCs/>
          <w:sz w:val="24"/>
        </w:rPr>
      </w:pPr>
      <w:r>
        <w:rPr>
          <w:rFonts w:hint="eastAsia"/>
          <w:bCs/>
          <w:sz w:val="24"/>
        </w:rPr>
        <w:t>六、本基金投资内地与香港股票市场交易互联互通机制（以下简称“港股通”）允许买卖的规定范围内的香港联合交易所上市的股票的，将承担港股通机制下因投资环境、投资标的、市场制度以及交易规则等</w:t>
      </w:r>
      <w:r>
        <w:rPr>
          <w:rFonts w:hint="eastAsia"/>
          <w:bCs/>
          <w:sz w:val="24"/>
        </w:rPr>
        <w:t>差异带来的特有风险，包括港股市场股价波动较大的风险（港股市场实行</w:t>
      </w:r>
      <w:r>
        <w:rPr>
          <w:rFonts w:hint="eastAsia"/>
          <w:bCs/>
          <w:sz w:val="24"/>
        </w:rPr>
        <w:t>T+0</w:t>
      </w:r>
      <w:r>
        <w:rPr>
          <w:rFonts w:hint="eastAsia"/>
          <w:bCs/>
          <w:sz w:val="24"/>
        </w:rPr>
        <w:t>回转交易，且对个股不设涨跌幅限制，港股股价可能表现出比</w:t>
      </w:r>
      <w:r>
        <w:rPr>
          <w:rFonts w:hint="eastAsia"/>
          <w:bCs/>
          <w:sz w:val="24"/>
        </w:rPr>
        <w:t>A</w:t>
      </w:r>
      <w:r>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详见本基金招募说明书“风险揭示”章节。</w:t>
      </w:r>
    </w:p>
    <w:p w14:paraId="52FD2FCA" w14:textId="77777777" w:rsidR="007C736D" w:rsidRDefault="00662CFB">
      <w:pPr>
        <w:spacing w:line="360" w:lineRule="auto"/>
        <w:ind w:firstLine="480"/>
        <w:rPr>
          <w:bCs/>
          <w:sz w:val="24"/>
        </w:rPr>
      </w:pPr>
      <w:r>
        <w:rPr>
          <w:rFonts w:hint="eastAsia"/>
          <w:bCs/>
          <w:sz w:val="24"/>
        </w:rPr>
        <w:t>七、为对冲信用风险，本基金可能投资于信用衍生品。信用衍生品的投资可能面临流动性风险、偿付风险以及价格波动风险等。具体请参见本基金招募说明</w:t>
      </w:r>
      <w:r>
        <w:rPr>
          <w:rFonts w:hint="eastAsia"/>
          <w:bCs/>
          <w:sz w:val="24"/>
        </w:rPr>
        <w:t>书关于“风险揭示”的相关内容。</w:t>
      </w:r>
    </w:p>
    <w:p w14:paraId="1D11AF90" w14:textId="77777777" w:rsidR="007C736D" w:rsidRDefault="00662CFB">
      <w:pPr>
        <w:spacing w:line="360" w:lineRule="auto"/>
        <w:ind w:firstLine="480"/>
        <w:rPr>
          <w:bCs/>
          <w:sz w:val="24"/>
        </w:rPr>
      </w:pPr>
      <w:r>
        <w:rPr>
          <w:rFonts w:hint="eastAsia"/>
          <w:bCs/>
          <w:sz w:val="24"/>
        </w:rPr>
        <w:t>八、本基金的投资范围包括存托凭证，除与其他仅投资于境内市场股票的基金所面临的共同风险外，本基金还将面临投资存托凭证的特殊风险，详见本基金招募说明书。</w:t>
      </w:r>
    </w:p>
    <w:p w14:paraId="0E5E89C1" w14:textId="77777777" w:rsidR="007C736D" w:rsidRDefault="00662CFB">
      <w:pPr>
        <w:spacing w:line="360" w:lineRule="auto"/>
        <w:ind w:firstLineChars="200" w:firstLine="480"/>
        <w:rPr>
          <w:bCs/>
          <w:sz w:val="24"/>
        </w:rPr>
      </w:pPr>
      <w:r>
        <w:rPr>
          <w:rFonts w:hint="eastAsia"/>
          <w:bCs/>
          <w:sz w:val="24"/>
        </w:rPr>
        <w:t>九、投资者确认知晓并同意认</w:t>
      </w:r>
      <w:r>
        <w:rPr>
          <w:bCs/>
          <w:sz w:val="24"/>
        </w:rPr>
        <w:t>/</w:t>
      </w:r>
      <w:r>
        <w:rPr>
          <w:rFonts w:hint="eastAsia"/>
          <w:bCs/>
          <w:sz w:val="24"/>
        </w:rPr>
        <w:t>申购本基金基金份额的行为即视为同意履行全力配合基金管理人穿透识别最终投资者（穿透识别标准以法律法规、自律规则及相关开户机构的要求为准，下同）的义务，如投资者拒绝配合基金管理人进行穿透识别最终投资者的，基金管理人有权拒绝投资者的认</w:t>
      </w:r>
      <w:r>
        <w:rPr>
          <w:bCs/>
          <w:sz w:val="24"/>
        </w:rPr>
        <w:t>/</w:t>
      </w:r>
      <w:r>
        <w:rPr>
          <w:rFonts w:hint="eastAsia"/>
          <w:bCs/>
          <w:sz w:val="24"/>
        </w:rPr>
        <w:t>申购申请，认</w:t>
      </w:r>
      <w:r>
        <w:rPr>
          <w:bCs/>
          <w:sz w:val="24"/>
        </w:rPr>
        <w:t>/</w:t>
      </w:r>
      <w:r>
        <w:rPr>
          <w:rFonts w:hint="eastAsia"/>
          <w:bCs/>
          <w:sz w:val="24"/>
        </w:rPr>
        <w:t>申购申请已经确认的，基金管理人有权强制赎回相应的基金份额。</w:t>
      </w:r>
    </w:p>
    <w:p w14:paraId="33DEE034" w14:textId="77777777" w:rsidR="007C736D" w:rsidRDefault="00662CFB">
      <w:pPr>
        <w:pStyle w:val="1110"/>
        <w:spacing w:before="0" w:after="0"/>
        <w:jc w:val="center"/>
        <w:rPr>
          <w:rFonts w:ascii="Times New Roman"/>
          <w:b w:val="0"/>
          <w:color w:val="auto"/>
          <w:sz w:val="30"/>
        </w:rPr>
      </w:pPr>
      <w:r>
        <w:rPr>
          <w:rFonts w:ascii="Times New Roman"/>
          <w:b w:val="0"/>
          <w:color w:val="auto"/>
          <w:sz w:val="21"/>
        </w:rPr>
        <w:br w:type="page"/>
      </w:r>
      <w:bookmarkStart w:id="40" w:name="_Toc15067"/>
      <w:bookmarkStart w:id="41" w:name="_Toc136360671"/>
      <w:bookmarkStart w:id="42" w:name="_Toc3224"/>
      <w:bookmarkStart w:id="43" w:name="_Toc19592"/>
      <w:bookmarkStart w:id="44" w:name="_Toc2465"/>
      <w:bookmarkStart w:id="45" w:name="_Toc22864"/>
      <w:bookmarkStart w:id="46" w:name="_Toc25072211"/>
      <w:bookmarkStart w:id="47" w:name="_Toc6617"/>
      <w:bookmarkStart w:id="48" w:name="_Toc24860"/>
      <w:bookmarkStart w:id="49" w:name="_Toc819"/>
      <w:bookmarkStart w:id="50" w:name="_Toc21301"/>
      <w:bookmarkStart w:id="51" w:name="_Toc13020"/>
      <w:r>
        <w:rPr>
          <w:rFonts w:ascii="Times New Roman" w:hint="eastAsia"/>
          <w:b w:val="0"/>
          <w:color w:val="auto"/>
          <w:sz w:val="30"/>
        </w:rPr>
        <w:lastRenderedPageBreak/>
        <w:t>第二部分</w:t>
      </w:r>
      <w:r>
        <w:rPr>
          <w:rFonts w:ascii="Times New Roman"/>
          <w:b w:val="0"/>
          <w:color w:val="auto"/>
          <w:sz w:val="30"/>
        </w:rPr>
        <w:t xml:space="preserve"> </w:t>
      </w:r>
      <w:r>
        <w:rPr>
          <w:rFonts w:ascii="Times New Roman" w:hint="eastAsia"/>
          <w:b w:val="0"/>
          <w:color w:val="auto"/>
          <w:sz w:val="30"/>
        </w:rPr>
        <w:t xml:space="preserve"> </w:t>
      </w:r>
      <w:r>
        <w:rPr>
          <w:rFonts w:ascii="Times New Roman" w:hint="eastAsia"/>
          <w:b w:val="0"/>
          <w:color w:val="auto"/>
          <w:sz w:val="30"/>
        </w:rPr>
        <w:t>释义</w:t>
      </w:r>
      <w:bookmarkEnd w:id="35"/>
      <w:bookmarkEnd w:id="39"/>
      <w:bookmarkEnd w:id="40"/>
      <w:bookmarkEnd w:id="41"/>
      <w:bookmarkEnd w:id="42"/>
      <w:bookmarkEnd w:id="43"/>
      <w:bookmarkEnd w:id="44"/>
      <w:bookmarkEnd w:id="45"/>
      <w:bookmarkEnd w:id="46"/>
      <w:bookmarkEnd w:id="47"/>
      <w:bookmarkEnd w:id="48"/>
      <w:bookmarkEnd w:id="49"/>
      <w:bookmarkEnd w:id="50"/>
      <w:bookmarkEnd w:id="51"/>
    </w:p>
    <w:p w14:paraId="1553DC58" w14:textId="77777777" w:rsidR="007C736D" w:rsidRDefault="007C736D">
      <w:pPr>
        <w:spacing w:line="360" w:lineRule="auto"/>
        <w:ind w:firstLine="420"/>
        <w:rPr>
          <w:bCs/>
        </w:rPr>
      </w:pPr>
    </w:p>
    <w:p w14:paraId="752492BB" w14:textId="77777777" w:rsidR="007C736D" w:rsidRDefault="00662CFB">
      <w:pPr>
        <w:spacing w:line="360" w:lineRule="auto"/>
        <w:ind w:firstLine="480"/>
        <w:rPr>
          <w:bCs/>
          <w:sz w:val="24"/>
        </w:rPr>
      </w:pPr>
      <w:r>
        <w:rPr>
          <w:bCs/>
          <w:sz w:val="24"/>
        </w:rPr>
        <w:t>在本基金合同中，除非文意另有所指</w:t>
      </w:r>
      <w:r>
        <w:rPr>
          <w:rFonts w:hint="eastAsia"/>
          <w:bCs/>
          <w:sz w:val="24"/>
        </w:rPr>
        <w:t>，</w:t>
      </w:r>
      <w:r>
        <w:rPr>
          <w:bCs/>
          <w:sz w:val="24"/>
        </w:rPr>
        <w:t>下列词语或简称具有如下含义：</w:t>
      </w:r>
    </w:p>
    <w:p w14:paraId="4248EF6B" w14:textId="77777777" w:rsidR="007C736D" w:rsidRDefault="00662CFB">
      <w:pPr>
        <w:spacing w:line="360" w:lineRule="auto"/>
        <w:ind w:firstLine="480"/>
        <w:rPr>
          <w:bCs/>
          <w:sz w:val="24"/>
        </w:rPr>
      </w:pPr>
      <w:r>
        <w:rPr>
          <w:bCs/>
          <w:sz w:val="24"/>
        </w:rPr>
        <w:t>1</w:t>
      </w:r>
      <w:r>
        <w:rPr>
          <w:rFonts w:hint="eastAsia"/>
          <w:bCs/>
          <w:sz w:val="24"/>
        </w:rPr>
        <w:t>、</w:t>
      </w:r>
      <w:r>
        <w:rPr>
          <w:bCs/>
          <w:sz w:val="24"/>
        </w:rPr>
        <w:t>基金或本基金：指</w:t>
      </w:r>
      <w:r>
        <w:rPr>
          <w:rFonts w:hint="eastAsia"/>
          <w:bCs/>
          <w:sz w:val="24"/>
        </w:rPr>
        <w:t>平安港股通科技精选混合型证券投资基金</w:t>
      </w:r>
    </w:p>
    <w:p w14:paraId="7CBB47A9" w14:textId="77777777" w:rsidR="007C736D" w:rsidRDefault="00662CFB">
      <w:pPr>
        <w:spacing w:line="360" w:lineRule="auto"/>
        <w:ind w:firstLine="480"/>
        <w:rPr>
          <w:bCs/>
          <w:sz w:val="24"/>
        </w:rPr>
      </w:pPr>
      <w:r>
        <w:rPr>
          <w:bCs/>
          <w:sz w:val="24"/>
        </w:rPr>
        <w:t>2</w:t>
      </w:r>
      <w:r>
        <w:rPr>
          <w:rFonts w:hint="eastAsia"/>
          <w:bCs/>
          <w:sz w:val="24"/>
        </w:rPr>
        <w:t>、</w:t>
      </w:r>
      <w:r>
        <w:rPr>
          <w:bCs/>
          <w:sz w:val="24"/>
        </w:rPr>
        <w:t>基金管理人：指</w:t>
      </w:r>
      <w:r>
        <w:rPr>
          <w:rFonts w:hint="eastAsia"/>
          <w:bCs/>
          <w:sz w:val="24"/>
        </w:rPr>
        <w:t>平安基金管理有限公司</w:t>
      </w:r>
    </w:p>
    <w:p w14:paraId="5D542F49" w14:textId="77777777" w:rsidR="007C736D" w:rsidRDefault="00662CFB">
      <w:pPr>
        <w:spacing w:line="360" w:lineRule="auto"/>
        <w:ind w:firstLine="480"/>
        <w:rPr>
          <w:bCs/>
          <w:sz w:val="24"/>
        </w:rPr>
      </w:pPr>
      <w:r>
        <w:rPr>
          <w:bCs/>
          <w:sz w:val="24"/>
        </w:rPr>
        <w:t>3</w:t>
      </w:r>
      <w:r>
        <w:rPr>
          <w:rFonts w:hint="eastAsia"/>
          <w:bCs/>
          <w:sz w:val="24"/>
        </w:rPr>
        <w:t>、</w:t>
      </w:r>
      <w:r>
        <w:rPr>
          <w:bCs/>
          <w:sz w:val="24"/>
        </w:rPr>
        <w:t>基金托管人：指</w:t>
      </w:r>
      <w:r>
        <w:rPr>
          <w:rFonts w:hint="eastAsia"/>
          <w:bCs/>
          <w:sz w:val="24"/>
        </w:rPr>
        <w:t>中国建设银行股份有限公司</w:t>
      </w:r>
    </w:p>
    <w:p w14:paraId="08373FFC" w14:textId="77777777" w:rsidR="007C736D" w:rsidRDefault="00662CFB">
      <w:pPr>
        <w:spacing w:line="360" w:lineRule="auto"/>
        <w:ind w:firstLine="480"/>
        <w:rPr>
          <w:bCs/>
          <w:sz w:val="24"/>
        </w:rPr>
      </w:pPr>
      <w:r>
        <w:rPr>
          <w:bCs/>
          <w:sz w:val="24"/>
        </w:rPr>
        <w:t>4</w:t>
      </w:r>
      <w:r>
        <w:rPr>
          <w:rFonts w:hint="eastAsia"/>
          <w:bCs/>
          <w:sz w:val="24"/>
        </w:rPr>
        <w:t>、</w:t>
      </w:r>
      <w:r>
        <w:rPr>
          <w:bCs/>
          <w:sz w:val="24"/>
        </w:rPr>
        <w:t>基金合同或本基金合同：指《</w:t>
      </w:r>
      <w:r>
        <w:rPr>
          <w:rFonts w:hint="eastAsia"/>
          <w:bCs/>
          <w:sz w:val="24"/>
        </w:rPr>
        <w:t>平安港股通科技精选混合型证券投资基金</w:t>
      </w:r>
      <w:r>
        <w:rPr>
          <w:bCs/>
          <w:sz w:val="24"/>
        </w:rPr>
        <w:t>基金合同》及对本基金合同的任何有效修订和补充</w:t>
      </w:r>
    </w:p>
    <w:p w14:paraId="1A5F368C" w14:textId="77777777" w:rsidR="007C736D" w:rsidRDefault="00662CFB">
      <w:pPr>
        <w:spacing w:line="360" w:lineRule="auto"/>
        <w:ind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平安港股通科技精选混合型证券投资基金</w:t>
      </w:r>
      <w:r>
        <w:rPr>
          <w:bCs/>
          <w:sz w:val="24"/>
        </w:rPr>
        <w:t>托管协议》及对该托管协议的任何有效修订和补充</w:t>
      </w:r>
    </w:p>
    <w:p w14:paraId="7D56E0E6" w14:textId="77777777" w:rsidR="007C736D" w:rsidRDefault="00662CFB">
      <w:pPr>
        <w:spacing w:line="360" w:lineRule="auto"/>
        <w:ind w:firstLine="480"/>
        <w:rPr>
          <w:bCs/>
          <w:sz w:val="24"/>
        </w:rPr>
      </w:pPr>
      <w:r>
        <w:rPr>
          <w:bCs/>
          <w:sz w:val="24"/>
        </w:rPr>
        <w:t>6</w:t>
      </w:r>
      <w:r>
        <w:rPr>
          <w:rFonts w:hint="eastAsia"/>
          <w:bCs/>
          <w:sz w:val="24"/>
        </w:rPr>
        <w:t>、</w:t>
      </w:r>
      <w:r>
        <w:rPr>
          <w:bCs/>
          <w:sz w:val="24"/>
        </w:rPr>
        <w:t>招募说明书：指《</w:t>
      </w:r>
      <w:r>
        <w:rPr>
          <w:rFonts w:hint="eastAsia"/>
          <w:bCs/>
          <w:sz w:val="24"/>
        </w:rPr>
        <w:t>平安港股通科技精选混合型证券投资基金</w:t>
      </w:r>
      <w:r>
        <w:rPr>
          <w:bCs/>
          <w:sz w:val="24"/>
        </w:rPr>
        <w:t>招募说明书》及其更新</w:t>
      </w:r>
    </w:p>
    <w:p w14:paraId="5FB6DF18" w14:textId="77777777" w:rsidR="007C736D" w:rsidRDefault="00662CFB">
      <w:pPr>
        <w:spacing w:line="360" w:lineRule="auto"/>
        <w:ind w:firstLine="480"/>
        <w:rPr>
          <w:bCs/>
          <w:sz w:val="24"/>
        </w:rPr>
      </w:pPr>
      <w:r>
        <w:rPr>
          <w:bCs/>
          <w:sz w:val="24"/>
        </w:rPr>
        <w:t>7</w:t>
      </w:r>
      <w:r>
        <w:rPr>
          <w:rFonts w:hint="eastAsia"/>
          <w:bCs/>
          <w:sz w:val="24"/>
        </w:rPr>
        <w:t>、</w:t>
      </w:r>
      <w:r>
        <w:rPr>
          <w:bCs/>
          <w:sz w:val="24"/>
        </w:rPr>
        <w:t>基金份额发售公告：指《</w:t>
      </w:r>
      <w:r>
        <w:rPr>
          <w:rFonts w:hint="eastAsia"/>
          <w:bCs/>
          <w:sz w:val="24"/>
        </w:rPr>
        <w:t>平安港股通科技精选混合型证券投资基金</w:t>
      </w:r>
      <w:r>
        <w:rPr>
          <w:bCs/>
          <w:sz w:val="24"/>
        </w:rPr>
        <w:t>基金份额发售公告》</w:t>
      </w:r>
    </w:p>
    <w:p w14:paraId="160815D4" w14:textId="77777777" w:rsidR="007C736D" w:rsidRDefault="00662CFB">
      <w:pPr>
        <w:spacing w:line="360" w:lineRule="auto"/>
        <w:ind w:firstLine="480"/>
        <w:rPr>
          <w:bCs/>
          <w:sz w:val="24"/>
        </w:rPr>
      </w:pPr>
      <w:r>
        <w:rPr>
          <w:bCs/>
          <w:sz w:val="24"/>
        </w:rPr>
        <w:t>8</w:t>
      </w:r>
      <w:r>
        <w:rPr>
          <w:rFonts w:hint="eastAsia"/>
          <w:bCs/>
          <w:sz w:val="24"/>
        </w:rPr>
        <w:t>、基金产品资料概要：指《平安港股通科技精选混合型证券投资基金基金产品资料概要》及其更新</w:t>
      </w:r>
    </w:p>
    <w:p w14:paraId="0AB946DE" w14:textId="77777777" w:rsidR="007C736D" w:rsidRDefault="00662CFB">
      <w:pPr>
        <w:spacing w:line="360" w:lineRule="auto"/>
        <w:ind w:firstLine="480"/>
        <w:rPr>
          <w:bCs/>
          <w:sz w:val="24"/>
        </w:rPr>
      </w:pPr>
      <w:r>
        <w:rPr>
          <w:rFonts w:hint="eastAsia"/>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5D3390A9" w14:textId="77777777" w:rsidR="007C736D" w:rsidRDefault="00662CFB">
      <w:pPr>
        <w:spacing w:line="360" w:lineRule="auto"/>
        <w:ind w:firstLine="480"/>
        <w:rPr>
          <w:bCs/>
          <w:sz w:val="24"/>
        </w:rPr>
      </w:pPr>
      <w:r>
        <w:rPr>
          <w:rFonts w:hint="eastAsia"/>
          <w:bCs/>
          <w:sz w:val="24"/>
        </w:rPr>
        <w:t>10</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w:t>
      </w:r>
      <w:r>
        <w:rPr>
          <w:rFonts w:hint="eastAsia"/>
          <w:bCs/>
          <w:sz w:val="24"/>
        </w:rPr>
        <w:t>经</w:t>
      </w:r>
      <w:r>
        <w:rPr>
          <w:bCs/>
          <w:sz w:val="24"/>
        </w:rPr>
        <w:t>2012</w:t>
      </w:r>
      <w:r>
        <w:rPr>
          <w:bCs/>
          <w:sz w:val="24"/>
        </w:rPr>
        <w:t>年</w:t>
      </w:r>
      <w:r>
        <w:rPr>
          <w:bCs/>
          <w:sz w:val="24"/>
        </w:rPr>
        <w:t>12</w:t>
      </w:r>
      <w:r>
        <w:rPr>
          <w:bCs/>
          <w:sz w:val="24"/>
        </w:rPr>
        <w:t>月</w:t>
      </w:r>
      <w:r>
        <w:rPr>
          <w:bCs/>
          <w:sz w:val="24"/>
        </w:rPr>
        <w:t>28</w:t>
      </w:r>
      <w:r>
        <w:rPr>
          <w:bCs/>
          <w:sz w:val="24"/>
        </w:rPr>
        <w:t>日第十一届全国人民代表大会常</w:t>
      </w:r>
      <w:r>
        <w:rPr>
          <w:bCs/>
          <w:sz w:val="24"/>
        </w:rPr>
        <w:t>务委员会第三十次会议修订</w:t>
      </w:r>
      <w:r>
        <w:rPr>
          <w:rFonts w:hint="eastAsia"/>
          <w:bCs/>
          <w:sz w:val="24"/>
        </w:rPr>
        <w:t>，</w:t>
      </w:r>
      <w:r>
        <w:rPr>
          <w:bCs/>
          <w:sz w:val="24"/>
        </w:rPr>
        <w:t>自</w:t>
      </w:r>
      <w:r>
        <w:rPr>
          <w:bCs/>
          <w:sz w:val="24"/>
        </w:rPr>
        <w:t>20</w:t>
      </w:r>
      <w:r>
        <w:rPr>
          <w:rFonts w:hint="eastAsia"/>
          <w:bCs/>
          <w:sz w:val="24"/>
        </w:rPr>
        <w:t>13</w:t>
      </w:r>
      <w:r>
        <w:rPr>
          <w:bCs/>
          <w:sz w:val="24"/>
        </w:rPr>
        <w:t>年</w:t>
      </w:r>
      <w:r>
        <w:rPr>
          <w:bCs/>
          <w:sz w:val="24"/>
        </w:rPr>
        <w:t>6</w:t>
      </w:r>
      <w:r>
        <w:rPr>
          <w:bCs/>
          <w:sz w:val="24"/>
        </w:rPr>
        <w:t>月</w:t>
      </w:r>
      <w:r>
        <w:rPr>
          <w:bCs/>
          <w:sz w:val="24"/>
        </w:rPr>
        <w:t>1</w:t>
      </w:r>
      <w:r>
        <w:rPr>
          <w:bCs/>
          <w:sz w:val="24"/>
        </w:rPr>
        <w:t>日起实施</w:t>
      </w:r>
      <w:r>
        <w:rPr>
          <w:rFonts w:hint="eastAsia"/>
          <w:bCs/>
          <w:sz w:val="24"/>
        </w:rPr>
        <w:t>，并经</w:t>
      </w:r>
      <w:r>
        <w:rPr>
          <w:rFonts w:hint="eastAsia"/>
          <w:bCs/>
          <w:sz w:val="24"/>
        </w:rPr>
        <w:t>2015</w:t>
      </w:r>
      <w:r>
        <w:rPr>
          <w:rFonts w:hint="eastAsia"/>
          <w:bCs/>
          <w:sz w:val="24"/>
        </w:rPr>
        <w:t>年</w:t>
      </w:r>
      <w:r>
        <w:rPr>
          <w:rFonts w:hint="eastAsia"/>
          <w:bCs/>
          <w:sz w:val="24"/>
        </w:rPr>
        <w:t>4</w:t>
      </w:r>
      <w:r>
        <w:rPr>
          <w:rFonts w:hint="eastAsia"/>
          <w:bCs/>
          <w:sz w:val="24"/>
        </w:rPr>
        <w:t>月</w:t>
      </w:r>
      <w:r>
        <w:rPr>
          <w:rFonts w:hint="eastAsia"/>
          <w:bCs/>
          <w:sz w:val="24"/>
        </w:rPr>
        <w:t>24</w:t>
      </w:r>
      <w:r>
        <w:rPr>
          <w:rFonts w:hint="eastAsia"/>
          <w:bCs/>
          <w:sz w:val="24"/>
        </w:rPr>
        <w:t>日第十二届全国人民代表大会常务委员会第十四次会议《全国人民代表大会常务委员会关于修改</w:t>
      </w:r>
      <w:r>
        <w:rPr>
          <w:rFonts w:hint="eastAsia"/>
          <w:bCs/>
          <w:sz w:val="24"/>
        </w:rPr>
        <w:t>&lt;</w:t>
      </w:r>
      <w:r>
        <w:rPr>
          <w:rFonts w:hint="eastAsia"/>
          <w:bCs/>
          <w:sz w:val="24"/>
        </w:rPr>
        <w:t>中华人民共和国港口法</w:t>
      </w:r>
      <w:r>
        <w:rPr>
          <w:rFonts w:hint="eastAsia"/>
          <w:bCs/>
          <w:sz w:val="24"/>
        </w:rPr>
        <w:t>&gt;</w:t>
      </w:r>
      <w:r>
        <w:rPr>
          <w:rFonts w:hint="eastAsia"/>
          <w:bCs/>
          <w:sz w:val="24"/>
        </w:rPr>
        <w:t>等七部法律的决定》修正</w:t>
      </w:r>
      <w:r>
        <w:rPr>
          <w:bCs/>
          <w:sz w:val="24"/>
        </w:rPr>
        <w:t>的《中华人民共和国证券投资基金法》及颁布机关对其不时做出的修订</w:t>
      </w:r>
    </w:p>
    <w:p w14:paraId="441C67D8" w14:textId="77777777" w:rsidR="007C736D" w:rsidRDefault="00662CFB">
      <w:pPr>
        <w:spacing w:line="360" w:lineRule="auto"/>
        <w:ind w:firstLine="480"/>
        <w:rPr>
          <w:bCs/>
          <w:sz w:val="24"/>
        </w:rPr>
      </w:pPr>
      <w:r>
        <w:rPr>
          <w:bCs/>
          <w:sz w:val="24"/>
        </w:rPr>
        <w:t>1</w:t>
      </w:r>
      <w:r>
        <w:rPr>
          <w:rFonts w:hint="eastAsia"/>
          <w:bCs/>
          <w:sz w:val="24"/>
        </w:rPr>
        <w:t>1</w:t>
      </w:r>
      <w:r>
        <w:rPr>
          <w:rFonts w:hint="eastAsia"/>
          <w:bCs/>
          <w:sz w:val="24"/>
        </w:rPr>
        <w:t>、</w:t>
      </w:r>
      <w:r>
        <w:rPr>
          <w:bCs/>
          <w:sz w:val="24"/>
        </w:rPr>
        <w:t>《销售办法》：</w:t>
      </w:r>
      <w:r>
        <w:rPr>
          <w:rFonts w:hint="eastAsia"/>
          <w:bCs/>
          <w:sz w:val="24"/>
        </w:rPr>
        <w:t>指中国证监会</w:t>
      </w:r>
      <w:r>
        <w:rPr>
          <w:rFonts w:hint="eastAsia"/>
          <w:bCs/>
          <w:sz w:val="24"/>
        </w:rPr>
        <w:t>2020</w:t>
      </w:r>
      <w:r>
        <w:rPr>
          <w:rFonts w:hint="eastAsia"/>
          <w:bCs/>
          <w:sz w:val="24"/>
        </w:rPr>
        <w:t>年</w:t>
      </w:r>
      <w:r>
        <w:rPr>
          <w:rFonts w:hint="eastAsia"/>
          <w:bCs/>
          <w:sz w:val="24"/>
        </w:rPr>
        <w:t>8</w:t>
      </w:r>
      <w:r>
        <w:rPr>
          <w:rFonts w:hint="eastAsia"/>
          <w:bCs/>
          <w:sz w:val="24"/>
        </w:rPr>
        <w:t>月</w:t>
      </w:r>
      <w:r>
        <w:rPr>
          <w:rFonts w:hint="eastAsia"/>
          <w:bCs/>
          <w:sz w:val="24"/>
        </w:rPr>
        <w:t>28</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日实施的《公开募集证券投资基金销售机构监督管理办法》及颁布机关对其不时做出的修订</w:t>
      </w:r>
    </w:p>
    <w:p w14:paraId="4A4203B2" w14:textId="77777777" w:rsidR="007C736D" w:rsidRDefault="00662CFB">
      <w:pPr>
        <w:spacing w:line="360" w:lineRule="auto"/>
        <w:ind w:firstLine="480"/>
        <w:rPr>
          <w:bCs/>
          <w:sz w:val="24"/>
        </w:rPr>
      </w:pPr>
      <w:r>
        <w:rPr>
          <w:bCs/>
          <w:sz w:val="24"/>
        </w:rPr>
        <w:t>1</w:t>
      </w:r>
      <w:r>
        <w:rPr>
          <w:rFonts w:hint="eastAsia"/>
          <w:bCs/>
          <w:sz w:val="24"/>
        </w:rPr>
        <w:t>2</w:t>
      </w:r>
      <w:r>
        <w:rPr>
          <w:rFonts w:hint="eastAsia"/>
          <w:bCs/>
          <w:sz w:val="24"/>
        </w:rPr>
        <w:t>、</w:t>
      </w:r>
      <w:r>
        <w:rPr>
          <w:bCs/>
          <w:sz w:val="24"/>
        </w:rPr>
        <w:t>《信息披露办法》：指中国证监会</w:t>
      </w:r>
      <w:r>
        <w:rPr>
          <w:rFonts w:hint="eastAsia"/>
          <w:bCs/>
          <w:sz w:val="24"/>
        </w:rPr>
        <w:t>2</w:t>
      </w:r>
      <w:r>
        <w:rPr>
          <w:bCs/>
          <w:sz w:val="24"/>
        </w:rPr>
        <w:t>019</w:t>
      </w:r>
      <w:r>
        <w:rPr>
          <w:bCs/>
          <w:sz w:val="24"/>
        </w:rPr>
        <w:t>年</w:t>
      </w:r>
      <w:r>
        <w:rPr>
          <w:bCs/>
          <w:sz w:val="24"/>
        </w:rPr>
        <w:t>7</w:t>
      </w:r>
      <w:r>
        <w:rPr>
          <w:bCs/>
          <w:sz w:val="24"/>
        </w:rPr>
        <w:t>月</w:t>
      </w:r>
      <w:r>
        <w:rPr>
          <w:bCs/>
          <w:sz w:val="24"/>
        </w:rPr>
        <w:t>26</w:t>
      </w:r>
      <w:r>
        <w:rPr>
          <w:bCs/>
          <w:sz w:val="24"/>
        </w:rPr>
        <w:t>日颁布、同年</w:t>
      </w:r>
      <w:r>
        <w:rPr>
          <w:rFonts w:hint="eastAsia"/>
          <w:bCs/>
          <w:sz w:val="24"/>
        </w:rPr>
        <w:t>9</w:t>
      </w:r>
      <w:r>
        <w:rPr>
          <w:bCs/>
          <w:sz w:val="24"/>
        </w:rPr>
        <w:t>月</w:t>
      </w:r>
      <w:r>
        <w:rPr>
          <w:bCs/>
          <w:sz w:val="24"/>
        </w:rPr>
        <w:t>1</w:t>
      </w:r>
      <w:r>
        <w:rPr>
          <w:bCs/>
          <w:sz w:val="24"/>
        </w:rPr>
        <w:lastRenderedPageBreak/>
        <w:t>日实施的</w:t>
      </w:r>
      <w:r>
        <w:rPr>
          <w:rFonts w:hint="eastAsia"/>
          <w:bCs/>
          <w:sz w:val="24"/>
        </w:rPr>
        <w:t>，并经</w:t>
      </w:r>
      <w:r>
        <w:rPr>
          <w:rFonts w:hint="eastAsia"/>
          <w:bCs/>
          <w:sz w:val="24"/>
        </w:rPr>
        <w:t>20</w:t>
      </w:r>
      <w:r>
        <w:rPr>
          <w:rFonts w:hint="eastAsia"/>
          <w:bCs/>
          <w:sz w:val="24"/>
        </w:rPr>
        <w:t>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日中国证监会《关于修改部分证券期货规章的决定》修正的</w:t>
      </w:r>
      <w:r>
        <w:rPr>
          <w:bCs/>
          <w:sz w:val="24"/>
        </w:rPr>
        <w:t>《公开募集证券投资基金信息披露管理办法》及颁布机关对其不时做出的修订</w:t>
      </w:r>
    </w:p>
    <w:p w14:paraId="0BA41A7F" w14:textId="77777777" w:rsidR="007C736D" w:rsidRDefault="00662CFB">
      <w:pPr>
        <w:spacing w:line="360" w:lineRule="auto"/>
        <w:ind w:firstLine="480"/>
        <w:rPr>
          <w:bCs/>
          <w:sz w:val="24"/>
        </w:rPr>
      </w:pPr>
      <w:r>
        <w:rPr>
          <w:bCs/>
          <w:sz w:val="24"/>
        </w:rPr>
        <w:t>1</w:t>
      </w:r>
      <w:r>
        <w:rPr>
          <w:rFonts w:hint="eastAsia"/>
          <w:bCs/>
          <w:sz w:val="24"/>
        </w:rPr>
        <w:t>3</w:t>
      </w:r>
      <w:r>
        <w:rPr>
          <w:rFonts w:hint="eastAsia"/>
          <w:bCs/>
          <w:sz w:val="24"/>
        </w:rPr>
        <w:t>、</w:t>
      </w:r>
      <w:r>
        <w:rPr>
          <w:bCs/>
          <w:sz w:val="24"/>
        </w:rPr>
        <w:t>《运作办法》：指中国证监会</w:t>
      </w:r>
      <w:r>
        <w:rPr>
          <w:bCs/>
          <w:sz w:val="24"/>
        </w:rPr>
        <w:t>20</w:t>
      </w:r>
      <w:r>
        <w:rPr>
          <w:rFonts w:hint="eastAsia"/>
          <w:bCs/>
          <w:sz w:val="24"/>
        </w:rPr>
        <w:t>1</w:t>
      </w:r>
      <w:r>
        <w:rPr>
          <w:bCs/>
          <w:sz w:val="24"/>
        </w:rPr>
        <w:t>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65569C44" w14:textId="77777777" w:rsidR="007C736D" w:rsidRDefault="00662CFB">
      <w:pPr>
        <w:spacing w:line="360" w:lineRule="auto"/>
        <w:ind w:firstLine="480"/>
        <w:rPr>
          <w:bCs/>
          <w:sz w:val="24"/>
        </w:rPr>
      </w:pPr>
      <w:r>
        <w:rPr>
          <w:rFonts w:hint="eastAsia"/>
          <w:bCs/>
          <w:sz w:val="24"/>
        </w:rPr>
        <w:t>14</w:t>
      </w:r>
      <w:r>
        <w:rPr>
          <w:rFonts w:hint="eastAsia"/>
          <w:bCs/>
          <w:sz w:val="24"/>
        </w:rPr>
        <w:t>、《流动性风险管理规定》：指中国证监会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14:paraId="2497CCFB" w14:textId="77777777" w:rsidR="007C736D" w:rsidRDefault="00662CFB">
      <w:pPr>
        <w:spacing w:line="360" w:lineRule="auto"/>
        <w:ind w:firstLine="480"/>
        <w:rPr>
          <w:bCs/>
          <w:sz w:val="24"/>
        </w:rPr>
      </w:pPr>
      <w:r>
        <w:rPr>
          <w:bCs/>
          <w:sz w:val="24"/>
        </w:rPr>
        <w:t>1</w:t>
      </w:r>
      <w:r>
        <w:rPr>
          <w:rFonts w:hint="eastAsia"/>
          <w:bCs/>
          <w:sz w:val="24"/>
        </w:rPr>
        <w:t>5</w:t>
      </w:r>
      <w:r>
        <w:rPr>
          <w:rFonts w:hint="eastAsia"/>
          <w:bCs/>
          <w:sz w:val="24"/>
        </w:rPr>
        <w:t>、</w:t>
      </w:r>
      <w:r>
        <w:rPr>
          <w:bCs/>
          <w:sz w:val="24"/>
        </w:rPr>
        <w:t>中国证监会：指中国证券监督管理委员会</w:t>
      </w:r>
    </w:p>
    <w:p w14:paraId="5F1E8CAF" w14:textId="77777777" w:rsidR="007C736D" w:rsidRDefault="00662CFB">
      <w:pPr>
        <w:spacing w:line="360" w:lineRule="auto"/>
        <w:ind w:firstLine="480"/>
        <w:rPr>
          <w:bCs/>
          <w:sz w:val="24"/>
        </w:rPr>
      </w:pPr>
      <w:r>
        <w:rPr>
          <w:bCs/>
          <w:sz w:val="24"/>
        </w:rPr>
        <w:t>1</w:t>
      </w:r>
      <w:r>
        <w:rPr>
          <w:rFonts w:hint="eastAsia"/>
          <w:bCs/>
          <w:sz w:val="24"/>
        </w:rPr>
        <w:t>6</w:t>
      </w:r>
      <w:r>
        <w:rPr>
          <w:rFonts w:hint="eastAsia"/>
          <w:bCs/>
          <w:sz w:val="24"/>
        </w:rPr>
        <w:t>、</w:t>
      </w:r>
      <w:r>
        <w:rPr>
          <w:bCs/>
          <w:sz w:val="24"/>
        </w:rPr>
        <w:t>银行业监督管理机构：指中国人民银行和</w:t>
      </w:r>
      <w:r>
        <w:rPr>
          <w:bCs/>
          <w:sz w:val="24"/>
        </w:rPr>
        <w:t>/</w:t>
      </w:r>
      <w:r>
        <w:rPr>
          <w:bCs/>
          <w:sz w:val="24"/>
        </w:rPr>
        <w:t>或</w:t>
      </w:r>
      <w:r>
        <w:rPr>
          <w:rFonts w:hint="eastAsia"/>
          <w:bCs/>
          <w:sz w:val="24"/>
        </w:rPr>
        <w:t>国家金融监督管理总局</w:t>
      </w:r>
    </w:p>
    <w:p w14:paraId="20A4B9BF" w14:textId="77777777" w:rsidR="007C736D" w:rsidRDefault="00662CFB">
      <w:pPr>
        <w:spacing w:line="360" w:lineRule="auto"/>
        <w:ind w:firstLine="480"/>
        <w:rPr>
          <w:bCs/>
          <w:sz w:val="24"/>
        </w:rPr>
      </w:pPr>
      <w:r>
        <w:rPr>
          <w:bCs/>
          <w:sz w:val="24"/>
        </w:rPr>
        <w:t>1</w:t>
      </w:r>
      <w:r>
        <w:rPr>
          <w:rFonts w:hint="eastAsia"/>
          <w:bCs/>
          <w:sz w:val="24"/>
        </w:rPr>
        <w:t>7</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3F3D9D5D" w14:textId="77777777" w:rsidR="007C736D" w:rsidRDefault="00662CFB">
      <w:pPr>
        <w:spacing w:line="360" w:lineRule="auto"/>
        <w:ind w:firstLine="480"/>
        <w:rPr>
          <w:bCs/>
          <w:sz w:val="24"/>
        </w:rPr>
      </w:pPr>
      <w:r>
        <w:rPr>
          <w:bCs/>
          <w:sz w:val="24"/>
        </w:rPr>
        <w:t>1</w:t>
      </w:r>
      <w:r>
        <w:rPr>
          <w:rFonts w:hint="eastAsia"/>
          <w:bCs/>
          <w:sz w:val="24"/>
        </w:rPr>
        <w:t>8</w:t>
      </w:r>
      <w:r>
        <w:rPr>
          <w:rFonts w:hint="eastAsia"/>
          <w:bCs/>
          <w:sz w:val="24"/>
        </w:rPr>
        <w:t>、</w:t>
      </w:r>
      <w:r>
        <w:rPr>
          <w:bCs/>
          <w:sz w:val="24"/>
        </w:rPr>
        <w:t>个人投资者：指依据有关法律法规规定可投资于证券投资基金的自然人</w:t>
      </w:r>
    </w:p>
    <w:p w14:paraId="41D9A1D2" w14:textId="77777777" w:rsidR="007C736D" w:rsidRDefault="00662CFB">
      <w:pPr>
        <w:spacing w:line="360" w:lineRule="auto"/>
        <w:ind w:firstLine="480"/>
        <w:rPr>
          <w:bCs/>
          <w:sz w:val="24"/>
        </w:rPr>
      </w:pPr>
      <w:r>
        <w:rPr>
          <w:bCs/>
          <w:sz w:val="24"/>
        </w:rPr>
        <w:t>1</w:t>
      </w:r>
      <w:r>
        <w:rPr>
          <w:rFonts w:hint="eastAsia"/>
          <w:bCs/>
          <w:sz w:val="24"/>
        </w:rPr>
        <w:t>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3B493B27" w14:textId="77777777" w:rsidR="007C736D" w:rsidRDefault="00662CFB">
      <w:pPr>
        <w:spacing w:line="360" w:lineRule="auto"/>
        <w:ind w:firstLine="480"/>
        <w:rPr>
          <w:bCs/>
          <w:sz w:val="24"/>
        </w:rPr>
      </w:pPr>
      <w:r>
        <w:rPr>
          <w:rFonts w:hint="eastAsia"/>
          <w:bCs/>
          <w:sz w:val="24"/>
        </w:rPr>
        <w:t>20</w:t>
      </w:r>
      <w:r>
        <w:rPr>
          <w:rFonts w:hint="eastAsia"/>
          <w:bCs/>
          <w:sz w:val="24"/>
        </w:rPr>
        <w:t>、合格境外投资者：指符合《合格境外机构投资者和人民币合格境外机构投资者境内证券期货投资管理办法》</w:t>
      </w:r>
      <w:r>
        <w:rPr>
          <w:rFonts w:hint="eastAsia"/>
          <w:bCs/>
          <w:sz w:val="24"/>
        </w:rPr>
        <w:t>（及颁布机关对其不时做出的修订）及相关法律法规规定，经中国证监会批准，使用来自境外的资金进行境内证券期货投资的境外机构投资者，包括合格境外机构投资者和人民币合格境外机构投资者</w:t>
      </w:r>
    </w:p>
    <w:p w14:paraId="4CA09A84" w14:textId="77777777" w:rsidR="007C736D" w:rsidRDefault="00662CFB">
      <w:pPr>
        <w:spacing w:line="360" w:lineRule="auto"/>
        <w:ind w:firstLine="480"/>
        <w:rPr>
          <w:bCs/>
          <w:sz w:val="24"/>
        </w:rPr>
      </w:pPr>
      <w:r>
        <w:rPr>
          <w:rFonts w:hint="eastAsia"/>
          <w:bCs/>
          <w:sz w:val="24"/>
        </w:rPr>
        <w:t>21</w:t>
      </w:r>
      <w:r>
        <w:rPr>
          <w:rFonts w:hint="eastAsia"/>
          <w:bCs/>
          <w:sz w:val="24"/>
        </w:rPr>
        <w:t>、投资人、投资者：指个人投资者、机构投资者、合格境外投资者以及法律法规或中国证监会允许购买证券投资基金的其他投资人的合称</w:t>
      </w:r>
    </w:p>
    <w:p w14:paraId="77FC1259" w14:textId="77777777" w:rsidR="007C736D" w:rsidRDefault="00662CFB">
      <w:pPr>
        <w:spacing w:line="360" w:lineRule="auto"/>
        <w:ind w:firstLine="480"/>
        <w:rPr>
          <w:bCs/>
          <w:sz w:val="24"/>
        </w:rPr>
      </w:pPr>
      <w:r>
        <w:rPr>
          <w:rFonts w:hint="eastAsia"/>
          <w:bCs/>
          <w:sz w:val="24"/>
        </w:rPr>
        <w:t>22</w:t>
      </w:r>
      <w:r>
        <w:rPr>
          <w:rFonts w:hint="eastAsia"/>
          <w:bCs/>
          <w:sz w:val="24"/>
        </w:rPr>
        <w:t>、</w:t>
      </w:r>
      <w:r>
        <w:rPr>
          <w:bCs/>
          <w:sz w:val="24"/>
        </w:rPr>
        <w:t>基金份额持有人：指依基金合同和招募说明书合法取得基金份额的投资人</w:t>
      </w:r>
    </w:p>
    <w:p w14:paraId="4C0D9C89" w14:textId="77777777" w:rsidR="007C736D" w:rsidRDefault="00662CFB">
      <w:pPr>
        <w:spacing w:line="360" w:lineRule="auto"/>
        <w:ind w:firstLine="480"/>
        <w:rPr>
          <w:bCs/>
          <w:sz w:val="24"/>
        </w:rPr>
      </w:pPr>
      <w:r>
        <w:rPr>
          <w:bCs/>
          <w:sz w:val="24"/>
        </w:rPr>
        <w:t>2</w:t>
      </w:r>
      <w:r>
        <w:rPr>
          <w:rFonts w:hint="eastAsia"/>
          <w:bCs/>
          <w:sz w:val="24"/>
        </w:rPr>
        <w:t>3</w:t>
      </w:r>
      <w:r>
        <w:rPr>
          <w:rFonts w:hint="eastAsia"/>
          <w:bCs/>
          <w:sz w:val="24"/>
        </w:rPr>
        <w:t>、</w:t>
      </w:r>
      <w:r>
        <w:rPr>
          <w:bCs/>
          <w:sz w:val="24"/>
        </w:rPr>
        <w:t>基金销售业务：指</w:t>
      </w:r>
      <w:r>
        <w:rPr>
          <w:rFonts w:hint="eastAsia"/>
          <w:bCs/>
          <w:sz w:val="24"/>
        </w:rPr>
        <w:t>为投资人开立基金交易账户，宣传推介基金，办理基金份额发售、申购、赎回、转换、转托管、定期定额投资及提供基金交易账户信息查询等活动</w:t>
      </w:r>
    </w:p>
    <w:p w14:paraId="4F94B585" w14:textId="77777777" w:rsidR="007C736D" w:rsidRDefault="00662CFB">
      <w:pPr>
        <w:spacing w:line="360" w:lineRule="auto"/>
        <w:ind w:firstLine="480"/>
        <w:rPr>
          <w:bCs/>
          <w:sz w:val="24"/>
        </w:rPr>
      </w:pPr>
      <w:r>
        <w:rPr>
          <w:bCs/>
          <w:sz w:val="24"/>
        </w:rPr>
        <w:lastRenderedPageBreak/>
        <w:t>2</w:t>
      </w:r>
      <w:r>
        <w:rPr>
          <w:rFonts w:hint="eastAsia"/>
          <w:bCs/>
          <w:sz w:val="24"/>
        </w:rPr>
        <w:t>4</w:t>
      </w:r>
      <w:r>
        <w:rPr>
          <w:rFonts w:hint="eastAsia"/>
          <w:bCs/>
          <w:sz w:val="24"/>
        </w:rPr>
        <w:t>、</w:t>
      </w:r>
      <w:r>
        <w:rPr>
          <w:bCs/>
          <w:sz w:val="24"/>
        </w:rPr>
        <w:t>销售机构：</w:t>
      </w:r>
      <w:r>
        <w:rPr>
          <w:rFonts w:hint="eastAsia"/>
          <w:bCs/>
          <w:sz w:val="24"/>
        </w:rPr>
        <w:t>指平安基金管理有限公司以及符合《销售办法》和中国证监会规定的其他条件，取得基金销售业务资格并与基金管理人签订了基金销售服务协议，办理基金销售业务的机构</w:t>
      </w:r>
    </w:p>
    <w:p w14:paraId="1105B437" w14:textId="77777777" w:rsidR="007C736D" w:rsidRDefault="00662CFB">
      <w:pPr>
        <w:spacing w:line="360" w:lineRule="auto"/>
        <w:ind w:firstLine="480"/>
        <w:rPr>
          <w:bCs/>
          <w:sz w:val="24"/>
        </w:rPr>
      </w:pPr>
      <w:r>
        <w:rPr>
          <w:rFonts w:hint="eastAsia"/>
          <w:bCs/>
          <w:sz w:val="24"/>
        </w:rPr>
        <w:t>25</w:t>
      </w:r>
      <w:r>
        <w:rPr>
          <w:rFonts w:hint="eastAsia"/>
          <w:bCs/>
          <w:sz w:val="24"/>
        </w:rPr>
        <w:t>、直销机构：指平安基金管理有限公司</w:t>
      </w:r>
    </w:p>
    <w:p w14:paraId="71DBC6A0" w14:textId="77777777" w:rsidR="007C736D" w:rsidRDefault="00662CFB">
      <w:pPr>
        <w:spacing w:line="360" w:lineRule="auto"/>
        <w:ind w:firstLine="480"/>
        <w:rPr>
          <w:bCs/>
          <w:sz w:val="24"/>
        </w:rPr>
      </w:pPr>
      <w:r>
        <w:rPr>
          <w:rFonts w:hint="eastAsia"/>
          <w:bCs/>
          <w:sz w:val="24"/>
        </w:rPr>
        <w:t>26</w:t>
      </w:r>
      <w:r>
        <w:rPr>
          <w:rFonts w:hint="eastAsia"/>
          <w:bCs/>
          <w:sz w:val="24"/>
        </w:rPr>
        <w:t>、代销机构：指符合《销售办法》和中国证监会规定的其他条件，取得基金销售业务资格并与基金管理人签订了基金销售服务协议，办理基金销售业务的机构</w:t>
      </w:r>
    </w:p>
    <w:p w14:paraId="09582F1E" w14:textId="77777777" w:rsidR="007C736D" w:rsidRDefault="00662CFB">
      <w:pPr>
        <w:spacing w:line="360" w:lineRule="auto"/>
        <w:ind w:firstLine="480"/>
        <w:rPr>
          <w:bCs/>
          <w:sz w:val="24"/>
        </w:rPr>
      </w:pPr>
      <w:r>
        <w:rPr>
          <w:rFonts w:hint="eastAsia"/>
          <w:bCs/>
          <w:sz w:val="24"/>
        </w:rPr>
        <w:t>27</w:t>
      </w:r>
      <w:r>
        <w:rPr>
          <w:rFonts w:hint="eastAsia"/>
          <w:bCs/>
          <w:sz w:val="24"/>
        </w:rPr>
        <w:t>、</w:t>
      </w:r>
      <w:r>
        <w:rPr>
          <w:bCs/>
          <w:sz w:val="24"/>
        </w:rPr>
        <w:t>登记业务：指基金登记、存</w:t>
      </w:r>
      <w:r>
        <w:rPr>
          <w:bCs/>
          <w:sz w:val="24"/>
        </w:rPr>
        <w:t>管、</w:t>
      </w:r>
      <w:r>
        <w:rPr>
          <w:rFonts w:hint="eastAsia"/>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14:paraId="26CA9D6B" w14:textId="77777777" w:rsidR="007C736D" w:rsidRDefault="00662CFB">
      <w:pPr>
        <w:spacing w:line="360" w:lineRule="auto"/>
        <w:ind w:firstLine="480"/>
        <w:rPr>
          <w:bCs/>
          <w:sz w:val="24"/>
        </w:rPr>
      </w:pPr>
      <w:r>
        <w:rPr>
          <w:bCs/>
          <w:sz w:val="24"/>
        </w:rPr>
        <w:t>2</w:t>
      </w:r>
      <w:r>
        <w:rPr>
          <w:rFonts w:hint="eastAsia"/>
          <w:bCs/>
          <w:sz w:val="24"/>
        </w:rPr>
        <w:t>8</w:t>
      </w:r>
      <w:r>
        <w:rPr>
          <w:rFonts w:hint="eastAsia"/>
          <w:bCs/>
          <w:sz w:val="24"/>
        </w:rPr>
        <w:t>、</w:t>
      </w:r>
      <w:r>
        <w:rPr>
          <w:bCs/>
          <w:sz w:val="24"/>
        </w:rPr>
        <w:t>登记机构：指办理登记业务的机构。基金的登记机构为</w:t>
      </w:r>
      <w:r>
        <w:rPr>
          <w:rFonts w:hint="eastAsia"/>
          <w:bCs/>
          <w:sz w:val="24"/>
        </w:rPr>
        <w:t>平安基金管理有限</w:t>
      </w:r>
      <w:r>
        <w:rPr>
          <w:bCs/>
          <w:sz w:val="24"/>
        </w:rPr>
        <w:t>公司或接受</w:t>
      </w:r>
      <w:r>
        <w:rPr>
          <w:rFonts w:hint="eastAsia"/>
          <w:bCs/>
          <w:sz w:val="24"/>
        </w:rPr>
        <w:t>平安基金管理有限</w:t>
      </w:r>
      <w:r>
        <w:rPr>
          <w:bCs/>
          <w:sz w:val="24"/>
        </w:rPr>
        <w:t>公司委托代为办理登记业务的机构</w:t>
      </w:r>
    </w:p>
    <w:p w14:paraId="2E222BED" w14:textId="77777777" w:rsidR="007C736D" w:rsidRDefault="00662CFB">
      <w:pPr>
        <w:spacing w:line="360" w:lineRule="auto"/>
        <w:ind w:firstLine="480"/>
        <w:rPr>
          <w:bCs/>
          <w:sz w:val="24"/>
        </w:rPr>
      </w:pPr>
      <w:r>
        <w:rPr>
          <w:bCs/>
          <w:sz w:val="24"/>
        </w:rPr>
        <w:t>2</w:t>
      </w:r>
      <w:r>
        <w:rPr>
          <w:rFonts w:hint="eastAsia"/>
          <w:bCs/>
          <w:sz w:val="24"/>
        </w:rPr>
        <w:t>9</w:t>
      </w:r>
      <w:r>
        <w:rPr>
          <w:rFonts w:hint="eastAsia"/>
          <w:bCs/>
          <w:sz w:val="24"/>
        </w:rPr>
        <w:t>、</w:t>
      </w:r>
      <w:r>
        <w:rPr>
          <w:bCs/>
          <w:sz w:val="24"/>
        </w:rPr>
        <w:t>基金账户：指登记机构为投资人开立的、记录其持有的、基金管理人所管理的基金份额余额及其变动情况的账户</w:t>
      </w:r>
    </w:p>
    <w:p w14:paraId="0841DD7C" w14:textId="77777777" w:rsidR="007C736D" w:rsidRDefault="00662CFB">
      <w:pPr>
        <w:spacing w:line="360" w:lineRule="auto"/>
        <w:ind w:firstLine="480"/>
        <w:rPr>
          <w:bCs/>
          <w:sz w:val="24"/>
        </w:rPr>
      </w:pPr>
      <w:r>
        <w:rPr>
          <w:rFonts w:hint="eastAsia"/>
          <w:bCs/>
          <w:sz w:val="24"/>
        </w:rPr>
        <w:t>30</w:t>
      </w:r>
      <w:r>
        <w:rPr>
          <w:rFonts w:hint="eastAsia"/>
          <w:bCs/>
          <w:sz w:val="24"/>
        </w:rPr>
        <w:t>、</w:t>
      </w:r>
      <w:r>
        <w:rPr>
          <w:bCs/>
          <w:sz w:val="24"/>
        </w:rPr>
        <w:t>基金交易账户：指销售机构为投资人开立的、记录投资人通过该销售机构</w:t>
      </w:r>
      <w:r>
        <w:rPr>
          <w:rFonts w:hint="eastAsia"/>
          <w:bCs/>
          <w:sz w:val="24"/>
        </w:rPr>
        <w:t>办理认购、申购、赎回、转换、转托管</w:t>
      </w:r>
      <w:r>
        <w:rPr>
          <w:rFonts w:hint="eastAsia"/>
          <w:bCs/>
          <w:sz w:val="24"/>
        </w:rPr>
        <w:t>及定期定额投资等业务而引起</w:t>
      </w:r>
      <w:r>
        <w:rPr>
          <w:bCs/>
          <w:sz w:val="24"/>
        </w:rPr>
        <w:t>的基金份额变动及结余情况的账户</w:t>
      </w:r>
    </w:p>
    <w:p w14:paraId="697108D1" w14:textId="77777777" w:rsidR="007C736D" w:rsidRDefault="00662CFB">
      <w:pPr>
        <w:spacing w:line="360" w:lineRule="auto"/>
        <w:ind w:firstLine="480"/>
        <w:rPr>
          <w:bCs/>
          <w:sz w:val="24"/>
        </w:rPr>
      </w:pPr>
      <w:r>
        <w:rPr>
          <w:rFonts w:hint="eastAsia"/>
          <w:bCs/>
          <w:sz w:val="24"/>
        </w:rPr>
        <w:t>31</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74824D6C" w14:textId="77777777" w:rsidR="007C736D" w:rsidRDefault="00662CFB">
      <w:pPr>
        <w:spacing w:line="360" w:lineRule="auto"/>
        <w:ind w:firstLine="480"/>
        <w:rPr>
          <w:bCs/>
          <w:sz w:val="24"/>
        </w:rPr>
      </w:pPr>
      <w:r>
        <w:rPr>
          <w:rFonts w:hint="eastAsia"/>
          <w:bCs/>
          <w:sz w:val="24"/>
        </w:rPr>
        <w:t>32</w:t>
      </w:r>
      <w:r>
        <w:rPr>
          <w:rFonts w:hint="eastAsia"/>
          <w:bCs/>
          <w:sz w:val="24"/>
        </w:rPr>
        <w:t>、</w:t>
      </w:r>
      <w:r>
        <w:rPr>
          <w:bCs/>
          <w:sz w:val="24"/>
        </w:rPr>
        <w:t>基金合同终止日：指基金合同规定的基金合同终止事由出现后，基金财产清算完毕，清算结果报中国证监会备案并予以公告的日期</w:t>
      </w:r>
    </w:p>
    <w:p w14:paraId="021B1051" w14:textId="77777777" w:rsidR="007C736D" w:rsidRDefault="00662CFB">
      <w:pPr>
        <w:spacing w:line="360" w:lineRule="auto"/>
        <w:ind w:firstLine="480"/>
        <w:rPr>
          <w:bCs/>
          <w:sz w:val="24"/>
        </w:rPr>
      </w:pPr>
      <w:r>
        <w:rPr>
          <w:rFonts w:hint="eastAsia"/>
          <w:bCs/>
          <w:sz w:val="24"/>
        </w:rPr>
        <w:t>33</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7795CC30" w14:textId="77777777" w:rsidR="007C736D" w:rsidRDefault="00662CFB">
      <w:pPr>
        <w:spacing w:line="360" w:lineRule="auto"/>
        <w:ind w:firstLine="480"/>
        <w:rPr>
          <w:bCs/>
          <w:sz w:val="24"/>
        </w:rPr>
      </w:pPr>
      <w:r>
        <w:rPr>
          <w:rFonts w:hint="eastAsia"/>
          <w:bCs/>
          <w:sz w:val="24"/>
        </w:rPr>
        <w:t>34</w:t>
      </w:r>
      <w:r>
        <w:rPr>
          <w:rFonts w:hint="eastAsia"/>
          <w:bCs/>
          <w:sz w:val="24"/>
        </w:rPr>
        <w:t>、</w:t>
      </w:r>
      <w:r>
        <w:rPr>
          <w:bCs/>
          <w:sz w:val="24"/>
        </w:rPr>
        <w:t>存续期：指基金合同生效至终止之间的不定期期限</w:t>
      </w:r>
    </w:p>
    <w:p w14:paraId="6F2F04A3" w14:textId="77777777" w:rsidR="007C736D" w:rsidRDefault="00662CFB">
      <w:pPr>
        <w:spacing w:line="360" w:lineRule="auto"/>
        <w:ind w:firstLine="480"/>
        <w:rPr>
          <w:bCs/>
          <w:sz w:val="24"/>
        </w:rPr>
      </w:pPr>
      <w:r>
        <w:rPr>
          <w:bCs/>
          <w:sz w:val="24"/>
        </w:rPr>
        <w:t>3</w:t>
      </w:r>
      <w:r>
        <w:rPr>
          <w:rFonts w:hint="eastAsia"/>
          <w:bCs/>
          <w:sz w:val="24"/>
        </w:rPr>
        <w:t>5</w:t>
      </w:r>
      <w:r>
        <w:rPr>
          <w:rFonts w:hint="eastAsia"/>
          <w:bCs/>
          <w:sz w:val="24"/>
        </w:rPr>
        <w:t>、</w:t>
      </w:r>
      <w:r>
        <w:rPr>
          <w:bCs/>
          <w:sz w:val="24"/>
        </w:rPr>
        <w:t>工作日：指上海证券交易所、深圳证券交易所的正</w:t>
      </w:r>
      <w:r>
        <w:rPr>
          <w:bCs/>
          <w:sz w:val="24"/>
        </w:rPr>
        <w:t>常交易日</w:t>
      </w:r>
    </w:p>
    <w:p w14:paraId="1C3C39CB" w14:textId="77777777" w:rsidR="007C736D" w:rsidRDefault="00662CFB">
      <w:pPr>
        <w:spacing w:line="360" w:lineRule="auto"/>
        <w:ind w:firstLine="480"/>
        <w:rPr>
          <w:bCs/>
          <w:sz w:val="24"/>
        </w:rPr>
      </w:pPr>
      <w:r>
        <w:rPr>
          <w:bCs/>
          <w:sz w:val="24"/>
        </w:rPr>
        <w:t>3</w:t>
      </w:r>
      <w:r>
        <w:rPr>
          <w:rFonts w:hint="eastAsia"/>
          <w:bCs/>
          <w:sz w:val="24"/>
        </w:rPr>
        <w:t>6</w:t>
      </w:r>
      <w:r>
        <w:rPr>
          <w:rFonts w:hint="eastAsia"/>
          <w:bCs/>
          <w:sz w:val="24"/>
        </w:rPr>
        <w:t>、</w:t>
      </w:r>
      <w:r>
        <w:rPr>
          <w:bCs/>
          <w:sz w:val="24"/>
        </w:rPr>
        <w:t>T</w:t>
      </w:r>
      <w:r>
        <w:rPr>
          <w:bCs/>
          <w:sz w:val="24"/>
        </w:rPr>
        <w:t>日：指销售机构在规定时间受理投资人申购、赎回或其他业务申请的</w:t>
      </w:r>
      <w:r>
        <w:rPr>
          <w:rFonts w:hint="eastAsia"/>
          <w:bCs/>
          <w:sz w:val="24"/>
        </w:rPr>
        <w:t>开放</w:t>
      </w:r>
      <w:r>
        <w:rPr>
          <w:bCs/>
          <w:sz w:val="24"/>
        </w:rPr>
        <w:t>日</w:t>
      </w:r>
    </w:p>
    <w:p w14:paraId="60A76D37" w14:textId="77777777" w:rsidR="007C736D" w:rsidRDefault="00662CFB">
      <w:pPr>
        <w:spacing w:line="360" w:lineRule="auto"/>
        <w:ind w:firstLine="480"/>
        <w:rPr>
          <w:bCs/>
          <w:sz w:val="24"/>
        </w:rPr>
      </w:pPr>
      <w:r>
        <w:rPr>
          <w:bCs/>
          <w:sz w:val="24"/>
        </w:rPr>
        <w:t>3</w:t>
      </w:r>
      <w:r>
        <w:rPr>
          <w:rFonts w:hint="eastAsia"/>
          <w:bCs/>
          <w:sz w:val="24"/>
        </w:rPr>
        <w:t>7</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Pr>
          <w:bCs/>
          <w:sz w:val="24"/>
        </w:rPr>
        <w:t>(</w:t>
      </w:r>
      <w:r>
        <w:rPr>
          <w:bCs/>
          <w:sz w:val="24"/>
        </w:rPr>
        <w:t>不包含</w:t>
      </w:r>
      <w:r>
        <w:rPr>
          <w:bCs/>
          <w:sz w:val="24"/>
        </w:rPr>
        <w:t>T</w:t>
      </w:r>
      <w:r>
        <w:rPr>
          <w:bCs/>
          <w:sz w:val="24"/>
        </w:rPr>
        <w:t>日</w:t>
      </w:r>
      <w:r>
        <w:rPr>
          <w:bCs/>
          <w:sz w:val="24"/>
        </w:rPr>
        <w:t>)</w:t>
      </w:r>
      <w:r>
        <w:rPr>
          <w:rFonts w:hint="eastAsia"/>
          <w:bCs/>
          <w:sz w:val="24"/>
        </w:rPr>
        <w:t>，</w:t>
      </w:r>
      <w:r>
        <w:rPr>
          <w:rFonts w:hint="eastAsia"/>
          <w:bCs/>
          <w:sz w:val="24"/>
        </w:rPr>
        <w:t>n</w:t>
      </w:r>
      <w:r>
        <w:rPr>
          <w:rFonts w:hint="eastAsia"/>
          <w:bCs/>
          <w:sz w:val="24"/>
        </w:rPr>
        <w:t>为自然数</w:t>
      </w:r>
    </w:p>
    <w:p w14:paraId="28AD1823" w14:textId="77777777" w:rsidR="007C736D" w:rsidRDefault="00662CFB">
      <w:pPr>
        <w:spacing w:line="360" w:lineRule="auto"/>
        <w:ind w:firstLine="480"/>
        <w:rPr>
          <w:bCs/>
          <w:sz w:val="24"/>
        </w:rPr>
      </w:pPr>
      <w:r>
        <w:rPr>
          <w:bCs/>
          <w:sz w:val="24"/>
        </w:rPr>
        <w:lastRenderedPageBreak/>
        <w:t>3</w:t>
      </w:r>
      <w:r>
        <w:rPr>
          <w:rFonts w:hint="eastAsia"/>
          <w:bCs/>
          <w:sz w:val="24"/>
        </w:rPr>
        <w:t>8</w:t>
      </w:r>
      <w:r>
        <w:rPr>
          <w:rFonts w:hint="eastAsia"/>
          <w:bCs/>
          <w:sz w:val="24"/>
        </w:rPr>
        <w:t>、</w:t>
      </w:r>
      <w:r>
        <w:rPr>
          <w:bCs/>
          <w:sz w:val="24"/>
        </w:rPr>
        <w:t>开放日：</w:t>
      </w:r>
      <w:r>
        <w:rPr>
          <w:rFonts w:hint="eastAsia"/>
          <w:bCs/>
          <w:sz w:val="24"/>
        </w:rPr>
        <w:t>指为投资人办理基金份额申购、赎回或其他</w:t>
      </w:r>
      <w:r>
        <w:rPr>
          <w:bCs/>
          <w:sz w:val="24"/>
        </w:rPr>
        <w:t>业务</w:t>
      </w:r>
      <w:r>
        <w:rPr>
          <w:rFonts w:hint="eastAsia"/>
          <w:bCs/>
          <w:sz w:val="24"/>
        </w:rPr>
        <w:t>的工作日（若该交易日非港股通交易日，则本基金不开放申购和赎回等业务）</w:t>
      </w:r>
    </w:p>
    <w:p w14:paraId="2A3E8EFB" w14:textId="77777777" w:rsidR="007C736D" w:rsidRDefault="00662CFB">
      <w:pPr>
        <w:spacing w:line="360" w:lineRule="auto"/>
        <w:ind w:firstLine="480"/>
        <w:rPr>
          <w:bCs/>
          <w:sz w:val="24"/>
        </w:rPr>
      </w:pPr>
      <w:r>
        <w:rPr>
          <w:bCs/>
          <w:sz w:val="24"/>
        </w:rPr>
        <w:t>3</w:t>
      </w:r>
      <w:r>
        <w:rPr>
          <w:rFonts w:hint="eastAsia"/>
          <w:bCs/>
          <w:sz w:val="24"/>
        </w:rPr>
        <w:t>9</w:t>
      </w:r>
      <w:r>
        <w:rPr>
          <w:rFonts w:hint="eastAsia"/>
          <w:bCs/>
          <w:sz w:val="24"/>
        </w:rPr>
        <w:t>、</w:t>
      </w:r>
      <w:r>
        <w:rPr>
          <w:bCs/>
          <w:sz w:val="24"/>
        </w:rPr>
        <w:t>开放时间：指开放日基金接受申购、赎回或其他</w:t>
      </w:r>
      <w:r>
        <w:rPr>
          <w:rFonts w:hint="eastAsia"/>
          <w:bCs/>
          <w:sz w:val="24"/>
        </w:rPr>
        <w:t>交易</w:t>
      </w:r>
      <w:r>
        <w:rPr>
          <w:bCs/>
          <w:sz w:val="24"/>
        </w:rPr>
        <w:t>的时间段</w:t>
      </w:r>
    </w:p>
    <w:p w14:paraId="0BECCCD3" w14:textId="77777777" w:rsidR="007C736D" w:rsidRDefault="00662CFB">
      <w:pPr>
        <w:spacing w:line="360" w:lineRule="auto"/>
        <w:ind w:firstLine="480"/>
        <w:rPr>
          <w:bCs/>
          <w:sz w:val="24"/>
        </w:rPr>
      </w:pPr>
      <w:r>
        <w:rPr>
          <w:rFonts w:hint="eastAsia"/>
          <w:bCs/>
          <w:sz w:val="24"/>
        </w:rPr>
        <w:t>40</w:t>
      </w:r>
      <w:r>
        <w:rPr>
          <w:rFonts w:hint="eastAsia"/>
          <w:bCs/>
          <w:sz w:val="24"/>
        </w:rPr>
        <w:t>、</w:t>
      </w:r>
      <w:r>
        <w:rPr>
          <w:bCs/>
          <w:sz w:val="24"/>
        </w:rPr>
        <w:t>《业务规则》：指《</w:t>
      </w:r>
      <w:r>
        <w:rPr>
          <w:rFonts w:hint="eastAsia"/>
          <w:bCs/>
          <w:sz w:val="24"/>
        </w:rPr>
        <w:t>平安基金管理有限</w:t>
      </w:r>
      <w:r>
        <w:rPr>
          <w:bCs/>
          <w:sz w:val="24"/>
        </w:rPr>
        <w:t>公司开放式基金业务规则》，是规范基金管理人所管理的开放式证券投资基金登记方面的业务规则，由基金管理人和投资人共同遵守</w:t>
      </w:r>
    </w:p>
    <w:p w14:paraId="72BB0F9C" w14:textId="77777777" w:rsidR="007C736D" w:rsidRDefault="00662CFB">
      <w:pPr>
        <w:spacing w:line="360" w:lineRule="auto"/>
        <w:ind w:firstLine="480"/>
        <w:rPr>
          <w:bCs/>
          <w:sz w:val="24"/>
        </w:rPr>
      </w:pPr>
      <w:r>
        <w:rPr>
          <w:rFonts w:hint="eastAsia"/>
          <w:bCs/>
          <w:sz w:val="24"/>
        </w:rPr>
        <w:t>41</w:t>
      </w:r>
      <w:r>
        <w:rPr>
          <w:rFonts w:hint="eastAsia"/>
          <w:bCs/>
          <w:sz w:val="24"/>
        </w:rPr>
        <w:t>、</w:t>
      </w:r>
      <w:r>
        <w:rPr>
          <w:bCs/>
          <w:sz w:val="24"/>
        </w:rPr>
        <w:t>认购：指在基金募集期内，投资人根据基金合同和招募说明书的规定申请购买基金份额的行为</w:t>
      </w:r>
    </w:p>
    <w:p w14:paraId="18F9BF3E" w14:textId="77777777" w:rsidR="007C736D" w:rsidRDefault="00662CFB">
      <w:pPr>
        <w:spacing w:line="360" w:lineRule="auto"/>
        <w:ind w:firstLine="480"/>
        <w:rPr>
          <w:bCs/>
          <w:sz w:val="24"/>
        </w:rPr>
      </w:pPr>
      <w:r>
        <w:rPr>
          <w:rFonts w:hint="eastAsia"/>
          <w:bCs/>
          <w:sz w:val="24"/>
        </w:rPr>
        <w:t>42</w:t>
      </w:r>
      <w:r>
        <w:rPr>
          <w:rFonts w:hint="eastAsia"/>
          <w:bCs/>
          <w:sz w:val="24"/>
        </w:rPr>
        <w:t>、</w:t>
      </w:r>
      <w:r>
        <w:rPr>
          <w:bCs/>
          <w:sz w:val="24"/>
        </w:rPr>
        <w:t>申购：指基金合同生效后，投资人根据基金合同和招募说明书的规定申请购买基金份额的行为</w:t>
      </w:r>
    </w:p>
    <w:p w14:paraId="016C6062" w14:textId="77777777" w:rsidR="007C736D" w:rsidRDefault="00662CFB">
      <w:pPr>
        <w:spacing w:line="360" w:lineRule="auto"/>
        <w:ind w:firstLine="480"/>
        <w:rPr>
          <w:bCs/>
          <w:sz w:val="24"/>
        </w:rPr>
      </w:pPr>
      <w:r>
        <w:rPr>
          <w:rFonts w:hint="eastAsia"/>
          <w:bCs/>
          <w:sz w:val="24"/>
        </w:rPr>
        <w:t>43</w:t>
      </w:r>
      <w:r>
        <w:rPr>
          <w:rFonts w:hint="eastAsia"/>
          <w:bCs/>
          <w:sz w:val="24"/>
        </w:rPr>
        <w:t>、</w:t>
      </w:r>
      <w:r>
        <w:rPr>
          <w:bCs/>
          <w:sz w:val="24"/>
        </w:rPr>
        <w:t>赎回：指基金合同生效后，基金份额持有人按基金合同和招募说明书规定的条件要求将基金份额兑换为现金的行为</w:t>
      </w:r>
    </w:p>
    <w:p w14:paraId="2DA15826" w14:textId="77777777" w:rsidR="007C736D" w:rsidRDefault="00662CFB">
      <w:pPr>
        <w:spacing w:line="360" w:lineRule="auto"/>
        <w:ind w:firstLine="480"/>
        <w:rPr>
          <w:bCs/>
          <w:sz w:val="24"/>
        </w:rPr>
      </w:pPr>
      <w:r>
        <w:rPr>
          <w:rFonts w:hint="eastAsia"/>
          <w:bCs/>
          <w:sz w:val="24"/>
        </w:rPr>
        <w:t>44</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基金转换：指基金份额持有人按照本基金合同和基金管理人届时有效公告规定的条件，申请将其持有基金管理人管理的、某一基金的基金份额转换为基金管理人管理的其他基金份额的行为</w:t>
      </w:r>
      <w:r>
        <w:rPr>
          <w:rFonts w:hint="eastAsia"/>
          <w:bCs/>
          <w:sz w:val="24"/>
          <w:lang w:val="zh-CN"/>
        </w:rPr>
        <w:t>，转换范围等相关规则由基金管理人届时根据相关法律法规及本基金</w:t>
      </w:r>
      <w:r>
        <w:rPr>
          <w:rFonts w:hint="eastAsia"/>
          <w:bCs/>
          <w:sz w:val="24"/>
          <w:lang w:val="zh-CN"/>
        </w:rPr>
        <w:t>合同的规定制定并公告</w:t>
      </w:r>
    </w:p>
    <w:p w14:paraId="146BADE5" w14:textId="77777777" w:rsidR="007C736D" w:rsidRDefault="00662CFB">
      <w:pPr>
        <w:spacing w:line="360" w:lineRule="auto"/>
        <w:ind w:firstLine="480"/>
        <w:rPr>
          <w:bCs/>
          <w:sz w:val="24"/>
        </w:rPr>
      </w:pPr>
      <w:r>
        <w:rPr>
          <w:bCs/>
          <w:sz w:val="24"/>
        </w:rPr>
        <w:t>4</w:t>
      </w:r>
      <w:r>
        <w:rPr>
          <w:rFonts w:hint="eastAsia"/>
          <w:bCs/>
          <w:sz w:val="24"/>
        </w:rPr>
        <w:t>5</w:t>
      </w:r>
      <w:r>
        <w:rPr>
          <w:rFonts w:hint="eastAsia"/>
          <w:bCs/>
          <w:sz w:val="24"/>
        </w:rPr>
        <w:t>、</w:t>
      </w:r>
      <w:r>
        <w:rPr>
          <w:bCs/>
          <w:sz w:val="24"/>
        </w:rPr>
        <w:t>转托管：指基金份额持有人在本基金的不同销售机构之间实施的变更所持基金份额销售机构的操作</w:t>
      </w:r>
    </w:p>
    <w:p w14:paraId="1355CE05" w14:textId="77777777" w:rsidR="007C736D" w:rsidRDefault="00662CFB">
      <w:pPr>
        <w:spacing w:line="360" w:lineRule="auto"/>
        <w:ind w:firstLine="480"/>
        <w:rPr>
          <w:bCs/>
          <w:sz w:val="24"/>
        </w:rPr>
      </w:pPr>
      <w:r>
        <w:rPr>
          <w:bCs/>
          <w:sz w:val="24"/>
        </w:rPr>
        <w:t>4</w:t>
      </w:r>
      <w:r>
        <w:rPr>
          <w:rFonts w:hint="eastAsia"/>
          <w:bCs/>
          <w:sz w:val="24"/>
        </w:rPr>
        <w:t>6</w:t>
      </w:r>
      <w:r>
        <w:rPr>
          <w:rFonts w:hint="eastAsia"/>
          <w:bCs/>
          <w:sz w:val="24"/>
        </w:rPr>
        <w:t>、定期定额投资</w:t>
      </w:r>
      <w:r>
        <w:rPr>
          <w:bCs/>
          <w:sz w:val="24"/>
        </w:rPr>
        <w:t>计划：指投资人通过有关销售机构提出申请，约定每期</w:t>
      </w:r>
      <w:r>
        <w:rPr>
          <w:rFonts w:hint="eastAsia"/>
          <w:bCs/>
          <w:sz w:val="24"/>
        </w:rPr>
        <w:t>申购</w:t>
      </w:r>
      <w:r>
        <w:rPr>
          <w:bCs/>
          <w:sz w:val="24"/>
        </w:rPr>
        <w:t>日、</w:t>
      </w:r>
      <w:r>
        <w:rPr>
          <w:rFonts w:hint="eastAsia"/>
          <w:bCs/>
          <w:sz w:val="24"/>
        </w:rPr>
        <w:t>扣款</w:t>
      </w:r>
      <w:r>
        <w:rPr>
          <w:bCs/>
          <w:sz w:val="24"/>
        </w:rPr>
        <w:t>金额及扣款方式，由销售机构于每期约定</w:t>
      </w:r>
      <w:r>
        <w:rPr>
          <w:rFonts w:hint="eastAsia"/>
          <w:bCs/>
          <w:sz w:val="24"/>
        </w:rPr>
        <w:t>扣款</w:t>
      </w:r>
      <w:r>
        <w:rPr>
          <w:bCs/>
          <w:sz w:val="24"/>
        </w:rPr>
        <w:t>日在投资人指定银行账户内自动完成扣款及</w:t>
      </w:r>
      <w:r>
        <w:rPr>
          <w:rFonts w:hint="eastAsia"/>
          <w:bCs/>
          <w:sz w:val="24"/>
        </w:rPr>
        <w:t>受理</w:t>
      </w:r>
      <w:r>
        <w:rPr>
          <w:bCs/>
          <w:sz w:val="24"/>
        </w:rPr>
        <w:t>基金申购申请的一种投资方式</w:t>
      </w:r>
    </w:p>
    <w:p w14:paraId="155CD936" w14:textId="77777777" w:rsidR="007C736D" w:rsidRDefault="00662CFB">
      <w:pPr>
        <w:spacing w:line="360" w:lineRule="auto"/>
        <w:ind w:firstLine="480"/>
        <w:rPr>
          <w:bCs/>
          <w:sz w:val="24"/>
        </w:rPr>
      </w:pPr>
      <w:r>
        <w:rPr>
          <w:bCs/>
          <w:sz w:val="24"/>
        </w:rPr>
        <w:t>4</w:t>
      </w:r>
      <w:r>
        <w:rPr>
          <w:rFonts w:hint="eastAsia"/>
          <w:bCs/>
          <w:sz w:val="24"/>
        </w:rPr>
        <w:t>7</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超过上一开放日基金总份额的</w:t>
      </w:r>
      <w:r>
        <w:rPr>
          <w:rFonts w:hint="eastAsia"/>
          <w:bCs/>
          <w:sz w:val="24"/>
        </w:rPr>
        <w:t>10%</w:t>
      </w:r>
    </w:p>
    <w:p w14:paraId="62BBEA25" w14:textId="77777777" w:rsidR="007C736D" w:rsidRDefault="00662CFB">
      <w:pPr>
        <w:spacing w:line="360" w:lineRule="auto"/>
        <w:ind w:firstLine="480"/>
        <w:rPr>
          <w:bCs/>
          <w:sz w:val="24"/>
        </w:rPr>
      </w:pPr>
      <w:r>
        <w:rPr>
          <w:rFonts w:hint="eastAsia"/>
          <w:bCs/>
          <w:sz w:val="24"/>
        </w:rPr>
        <w:t>48</w:t>
      </w:r>
      <w:r>
        <w:rPr>
          <w:rFonts w:hint="eastAsia"/>
          <w:bCs/>
          <w:sz w:val="24"/>
        </w:rPr>
        <w:t>、销售服务费</w:t>
      </w:r>
      <w:r>
        <w:rPr>
          <w:rFonts w:hint="eastAsia"/>
          <w:bCs/>
          <w:sz w:val="24"/>
        </w:rPr>
        <w:t>：指从基金财产中计提的，用于本基金市场推广、销售以及基金份额持有人服务的费用</w:t>
      </w:r>
    </w:p>
    <w:p w14:paraId="5FC9A9CE" w14:textId="77777777" w:rsidR="007C736D" w:rsidRDefault="00662CFB">
      <w:pPr>
        <w:spacing w:line="360" w:lineRule="auto"/>
        <w:ind w:firstLine="480"/>
        <w:rPr>
          <w:bCs/>
          <w:sz w:val="24"/>
        </w:rPr>
      </w:pPr>
      <w:r>
        <w:rPr>
          <w:rFonts w:hint="eastAsia"/>
          <w:bCs/>
          <w:sz w:val="24"/>
        </w:rPr>
        <w:t>49</w:t>
      </w:r>
      <w:r>
        <w:rPr>
          <w:rFonts w:hint="eastAsia"/>
          <w:bCs/>
          <w:sz w:val="24"/>
        </w:rPr>
        <w:t>、</w:t>
      </w:r>
      <w:r>
        <w:rPr>
          <w:rFonts w:hint="eastAsia"/>
          <w:bCs/>
          <w:sz w:val="24"/>
        </w:rPr>
        <w:t>A</w:t>
      </w:r>
      <w:r>
        <w:rPr>
          <w:rFonts w:hint="eastAsia"/>
          <w:bCs/>
          <w:sz w:val="24"/>
        </w:rPr>
        <w:t>类基金份额：指在投资人认购、申购时收取认购费、申购费，但不从本类别基金资产中计提销售服务费的基金份额</w:t>
      </w:r>
    </w:p>
    <w:p w14:paraId="4CF013FC" w14:textId="77777777" w:rsidR="007C736D" w:rsidRDefault="00662CFB">
      <w:pPr>
        <w:spacing w:line="360" w:lineRule="auto"/>
        <w:ind w:firstLine="480"/>
        <w:rPr>
          <w:bCs/>
          <w:sz w:val="24"/>
        </w:rPr>
      </w:pPr>
      <w:r>
        <w:rPr>
          <w:bCs/>
          <w:sz w:val="24"/>
        </w:rPr>
        <w:t>50</w:t>
      </w:r>
      <w:r>
        <w:rPr>
          <w:rFonts w:hint="eastAsia"/>
          <w:bCs/>
          <w:sz w:val="24"/>
        </w:rPr>
        <w:t>、</w:t>
      </w:r>
      <w:r>
        <w:rPr>
          <w:rFonts w:hint="eastAsia"/>
          <w:bCs/>
          <w:sz w:val="24"/>
        </w:rPr>
        <w:t>C</w:t>
      </w:r>
      <w:r>
        <w:rPr>
          <w:rFonts w:hint="eastAsia"/>
          <w:bCs/>
          <w:sz w:val="24"/>
        </w:rPr>
        <w:t>类基金份额：指在投资人认购、申购时不收取认购费、申购费，而</w:t>
      </w:r>
      <w:r>
        <w:rPr>
          <w:rFonts w:hint="eastAsia"/>
          <w:bCs/>
          <w:sz w:val="24"/>
        </w:rPr>
        <w:lastRenderedPageBreak/>
        <w:t>是从本类别基金资产中计提销售服务费的基金份额</w:t>
      </w:r>
    </w:p>
    <w:p w14:paraId="4B92544B" w14:textId="77777777" w:rsidR="007C736D" w:rsidRDefault="00662CFB">
      <w:pPr>
        <w:spacing w:line="360" w:lineRule="auto"/>
        <w:ind w:firstLine="480"/>
        <w:rPr>
          <w:bCs/>
          <w:sz w:val="24"/>
        </w:rPr>
      </w:pPr>
      <w:r>
        <w:rPr>
          <w:rFonts w:hint="eastAsia"/>
          <w:bCs/>
          <w:sz w:val="24"/>
        </w:rPr>
        <w:t>5</w:t>
      </w:r>
      <w:r>
        <w:rPr>
          <w:bCs/>
          <w:sz w:val="24"/>
        </w:rPr>
        <w:t>1</w:t>
      </w:r>
      <w:r>
        <w:rPr>
          <w:rFonts w:hint="eastAsia"/>
          <w:bCs/>
          <w:sz w:val="24"/>
        </w:rPr>
        <w:t>、</w:t>
      </w:r>
      <w:r>
        <w:rPr>
          <w:bCs/>
          <w:sz w:val="24"/>
        </w:rPr>
        <w:t>元：指人民币元</w:t>
      </w:r>
    </w:p>
    <w:p w14:paraId="61E014EA" w14:textId="77777777" w:rsidR="007C736D" w:rsidRDefault="00662CFB">
      <w:pPr>
        <w:spacing w:line="360" w:lineRule="auto"/>
        <w:ind w:firstLine="480"/>
        <w:rPr>
          <w:bCs/>
          <w:sz w:val="24"/>
        </w:rPr>
      </w:pPr>
      <w:r>
        <w:rPr>
          <w:rFonts w:hint="eastAsia"/>
          <w:bCs/>
          <w:sz w:val="24"/>
        </w:rPr>
        <w:t>5</w:t>
      </w:r>
      <w:r>
        <w:rPr>
          <w:bCs/>
          <w:sz w:val="24"/>
        </w:rPr>
        <w:t>2</w:t>
      </w:r>
      <w:r>
        <w:rPr>
          <w:rFonts w:hint="eastAsia"/>
          <w:bCs/>
          <w:sz w:val="24"/>
        </w:rPr>
        <w:t>、</w:t>
      </w:r>
      <w:r>
        <w:rPr>
          <w:bCs/>
          <w:sz w:val="24"/>
        </w:rPr>
        <w:t>基金收益：指基金投资所得</w:t>
      </w:r>
      <w:r>
        <w:rPr>
          <w:rFonts w:hint="eastAsia"/>
          <w:bCs/>
          <w:sz w:val="24"/>
        </w:rPr>
        <w:t>红利</w:t>
      </w:r>
      <w:r>
        <w:rPr>
          <w:bCs/>
          <w:sz w:val="24"/>
        </w:rPr>
        <w:t>、</w:t>
      </w:r>
      <w:r>
        <w:rPr>
          <w:rFonts w:hint="eastAsia"/>
          <w:bCs/>
          <w:sz w:val="24"/>
        </w:rPr>
        <w:t>股息、</w:t>
      </w:r>
      <w:r>
        <w:rPr>
          <w:bCs/>
          <w:sz w:val="24"/>
        </w:rPr>
        <w:t>债券利息、买卖证券价差、银行存款利息、已实现的其他合法收入及因运用基金财产带来的成本和费用的节约</w:t>
      </w:r>
    </w:p>
    <w:p w14:paraId="01A10715" w14:textId="77777777" w:rsidR="007C736D" w:rsidRDefault="00662CFB">
      <w:pPr>
        <w:spacing w:line="360" w:lineRule="auto"/>
        <w:ind w:firstLine="480"/>
        <w:rPr>
          <w:bCs/>
          <w:sz w:val="24"/>
        </w:rPr>
      </w:pPr>
      <w:r>
        <w:rPr>
          <w:rFonts w:hint="eastAsia"/>
          <w:bCs/>
          <w:sz w:val="24"/>
        </w:rPr>
        <w:t>5</w:t>
      </w:r>
      <w:r>
        <w:rPr>
          <w:bCs/>
          <w:sz w:val="24"/>
        </w:rPr>
        <w:t>3</w:t>
      </w:r>
      <w:r>
        <w:rPr>
          <w:rFonts w:hint="eastAsia"/>
          <w:bCs/>
          <w:sz w:val="24"/>
        </w:rPr>
        <w:t>、</w:t>
      </w:r>
      <w:r>
        <w:rPr>
          <w:bCs/>
          <w:sz w:val="24"/>
        </w:rPr>
        <w:t>基金资产总值：指基金拥有的各类有价证券、银行存款本息、基金应收</w:t>
      </w:r>
      <w:r>
        <w:rPr>
          <w:rFonts w:hint="eastAsia"/>
          <w:bCs/>
          <w:sz w:val="24"/>
        </w:rPr>
        <w:t>款项</w:t>
      </w:r>
      <w:r>
        <w:rPr>
          <w:bCs/>
          <w:sz w:val="24"/>
        </w:rPr>
        <w:t>及其他资产的价值总和</w:t>
      </w:r>
    </w:p>
    <w:p w14:paraId="103687AC" w14:textId="77777777" w:rsidR="007C736D" w:rsidRDefault="00662CFB">
      <w:pPr>
        <w:spacing w:line="360" w:lineRule="auto"/>
        <w:ind w:firstLine="480"/>
        <w:rPr>
          <w:bCs/>
          <w:sz w:val="24"/>
        </w:rPr>
      </w:pPr>
      <w:r>
        <w:rPr>
          <w:rFonts w:hint="eastAsia"/>
          <w:bCs/>
          <w:sz w:val="24"/>
        </w:rPr>
        <w:t>5</w:t>
      </w:r>
      <w:r>
        <w:rPr>
          <w:bCs/>
          <w:sz w:val="24"/>
        </w:rPr>
        <w:t>4</w:t>
      </w:r>
      <w:r>
        <w:rPr>
          <w:rFonts w:hint="eastAsia"/>
          <w:bCs/>
          <w:sz w:val="24"/>
        </w:rPr>
        <w:t>、</w:t>
      </w:r>
      <w:r>
        <w:rPr>
          <w:bCs/>
          <w:sz w:val="24"/>
        </w:rPr>
        <w:t>基金资产净值：指基金资产总值减去</w:t>
      </w:r>
      <w:bookmarkStart w:id="52" w:name="_Hlk60133161"/>
      <w:r>
        <w:rPr>
          <w:bCs/>
          <w:sz w:val="24"/>
        </w:rPr>
        <w:t>基金</w:t>
      </w:r>
      <w:bookmarkEnd w:id="52"/>
      <w:r>
        <w:rPr>
          <w:bCs/>
          <w:sz w:val="24"/>
        </w:rPr>
        <w:t>负债后的价值</w:t>
      </w:r>
    </w:p>
    <w:p w14:paraId="578488AA" w14:textId="77777777" w:rsidR="007C736D" w:rsidRDefault="00662CFB">
      <w:pPr>
        <w:spacing w:line="360" w:lineRule="auto"/>
        <w:ind w:firstLine="480"/>
        <w:rPr>
          <w:bCs/>
          <w:sz w:val="24"/>
        </w:rPr>
      </w:pPr>
      <w:r>
        <w:rPr>
          <w:rFonts w:hint="eastAsia"/>
          <w:bCs/>
          <w:sz w:val="24"/>
        </w:rPr>
        <w:t>5</w:t>
      </w:r>
      <w:r>
        <w:rPr>
          <w:bCs/>
          <w:sz w:val="24"/>
        </w:rPr>
        <w:t>5</w:t>
      </w:r>
      <w:r>
        <w:rPr>
          <w:rFonts w:hint="eastAsia"/>
          <w:bCs/>
          <w:sz w:val="24"/>
        </w:rPr>
        <w:t>、</w:t>
      </w:r>
      <w:r>
        <w:rPr>
          <w:bCs/>
          <w:sz w:val="24"/>
        </w:rPr>
        <w:t>基金份额净值：指计算日基金资产净值除以计算日基金份额总数</w:t>
      </w:r>
    </w:p>
    <w:p w14:paraId="276087DC" w14:textId="77777777" w:rsidR="007C736D" w:rsidRDefault="00662CFB">
      <w:pPr>
        <w:spacing w:line="360" w:lineRule="auto"/>
        <w:ind w:firstLine="480"/>
        <w:rPr>
          <w:bCs/>
          <w:sz w:val="24"/>
        </w:rPr>
      </w:pPr>
      <w:r>
        <w:rPr>
          <w:rFonts w:hint="eastAsia"/>
          <w:bCs/>
          <w:sz w:val="24"/>
        </w:rPr>
        <w:t>5</w:t>
      </w:r>
      <w:r>
        <w:rPr>
          <w:bCs/>
          <w:sz w:val="24"/>
        </w:rPr>
        <w:t>6</w:t>
      </w:r>
      <w:r>
        <w:rPr>
          <w:rFonts w:hint="eastAsia"/>
          <w:bCs/>
          <w:sz w:val="24"/>
        </w:rPr>
        <w:t>、</w:t>
      </w:r>
      <w:r>
        <w:rPr>
          <w:bCs/>
          <w:sz w:val="24"/>
        </w:rPr>
        <w:t>基金资产估值：指计算评估基金资产和负债的价值，以确定基金资产净值和基金份额净值的过程</w:t>
      </w:r>
    </w:p>
    <w:p w14:paraId="6F424817" w14:textId="77777777" w:rsidR="007C736D" w:rsidRDefault="00662CFB">
      <w:pPr>
        <w:spacing w:line="360" w:lineRule="auto"/>
        <w:ind w:firstLine="480"/>
        <w:rPr>
          <w:bCs/>
          <w:sz w:val="24"/>
        </w:rPr>
      </w:pPr>
      <w:r>
        <w:rPr>
          <w:rFonts w:hint="eastAsia"/>
          <w:bCs/>
          <w:sz w:val="24"/>
        </w:rPr>
        <w:t>5</w:t>
      </w:r>
      <w:r>
        <w:rPr>
          <w:bCs/>
          <w:sz w:val="24"/>
        </w:rPr>
        <w:t>7</w:t>
      </w:r>
      <w:r>
        <w:rPr>
          <w:rFonts w:hint="eastAsia"/>
          <w:bCs/>
          <w:sz w:val="24"/>
        </w:rPr>
        <w:t>、</w:t>
      </w:r>
      <w:r>
        <w:rPr>
          <w:bCs/>
          <w:sz w:val="24"/>
        </w:rPr>
        <w:t>规定媒介：指</w:t>
      </w:r>
      <w:r>
        <w:rPr>
          <w:rFonts w:hint="eastAsia"/>
          <w:bCs/>
          <w:sz w:val="24"/>
        </w:rPr>
        <w:t>符合</w:t>
      </w:r>
      <w:r>
        <w:rPr>
          <w:bCs/>
          <w:sz w:val="24"/>
        </w:rPr>
        <w:t>中国证监会</w:t>
      </w:r>
      <w:r>
        <w:rPr>
          <w:rFonts w:hint="eastAsia"/>
          <w:bCs/>
          <w:sz w:val="24"/>
        </w:rPr>
        <w:t>规定条件</w:t>
      </w:r>
      <w:r>
        <w:rPr>
          <w:bCs/>
          <w:sz w:val="24"/>
        </w:rPr>
        <w:t>的用以进行信息披露的全国性报刊</w:t>
      </w:r>
      <w:r>
        <w:rPr>
          <w:rFonts w:hint="eastAsia"/>
          <w:bCs/>
          <w:sz w:val="24"/>
        </w:rPr>
        <w:t>及《信息披露办法》规定的</w:t>
      </w:r>
      <w:r>
        <w:rPr>
          <w:bCs/>
          <w:sz w:val="24"/>
        </w:rPr>
        <w:t>互联网网站</w:t>
      </w:r>
      <w:r>
        <w:rPr>
          <w:rFonts w:hint="eastAsia"/>
          <w:bCs/>
          <w:sz w:val="24"/>
        </w:rPr>
        <w:t>（包括基金管理人网站、基金托管人网站、中国证监会基金电子披露网站）等</w:t>
      </w:r>
      <w:r>
        <w:rPr>
          <w:bCs/>
          <w:sz w:val="24"/>
        </w:rPr>
        <w:t>媒介</w:t>
      </w:r>
    </w:p>
    <w:p w14:paraId="4016D7B2" w14:textId="77777777" w:rsidR="007C736D" w:rsidRDefault="00662CFB">
      <w:pPr>
        <w:spacing w:line="360" w:lineRule="auto"/>
        <w:ind w:firstLine="480"/>
        <w:rPr>
          <w:bCs/>
          <w:sz w:val="24"/>
        </w:rPr>
      </w:pPr>
      <w:r>
        <w:rPr>
          <w:bCs/>
          <w:sz w:val="24"/>
        </w:rPr>
        <w:t>58</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32DFA1F0" w14:textId="77777777" w:rsidR="007C736D" w:rsidRDefault="00662CFB">
      <w:pPr>
        <w:spacing w:line="360" w:lineRule="auto"/>
        <w:ind w:firstLine="480"/>
        <w:rPr>
          <w:bCs/>
          <w:sz w:val="24"/>
        </w:rPr>
      </w:pPr>
      <w:r>
        <w:rPr>
          <w:bCs/>
          <w:sz w:val="24"/>
        </w:rPr>
        <w:t>59</w:t>
      </w:r>
      <w:r>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w:t>
      </w:r>
      <w:r>
        <w:rPr>
          <w:rFonts w:hint="eastAsia"/>
          <w:bCs/>
          <w:sz w:val="24"/>
        </w:rPr>
        <w:t>待</w:t>
      </w:r>
    </w:p>
    <w:p w14:paraId="0BCDDFEF" w14:textId="77777777" w:rsidR="007C736D" w:rsidRDefault="00662CFB">
      <w:pPr>
        <w:spacing w:line="360" w:lineRule="auto"/>
        <w:ind w:firstLine="480"/>
        <w:rPr>
          <w:bCs/>
          <w:sz w:val="24"/>
        </w:rPr>
      </w:pPr>
      <w:r>
        <w:rPr>
          <w:bCs/>
          <w:sz w:val="24"/>
        </w:rPr>
        <w:t>60</w:t>
      </w:r>
      <w:r>
        <w:rPr>
          <w:rFonts w:hint="eastAsia"/>
          <w:bCs/>
          <w:sz w:val="24"/>
        </w:rPr>
        <w:t>、港股通标的股票：指内地投资者委托内地证券公司，经由内地证券交易所设立的证券交易服务公司，向香港联合交易所进行申报，买卖规定范围内的香港联合交易所上市的股票</w:t>
      </w:r>
    </w:p>
    <w:p w14:paraId="0B8805D2" w14:textId="77777777" w:rsidR="007C736D" w:rsidRDefault="00662CFB">
      <w:pPr>
        <w:spacing w:line="360" w:lineRule="auto"/>
        <w:ind w:firstLine="480"/>
        <w:rPr>
          <w:bCs/>
          <w:sz w:val="24"/>
        </w:rPr>
      </w:pPr>
      <w:r>
        <w:rPr>
          <w:bCs/>
          <w:sz w:val="24"/>
        </w:rPr>
        <w:t>61</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14:paraId="732D4E8E" w14:textId="77777777" w:rsidR="007C736D" w:rsidRDefault="00662CFB">
      <w:pPr>
        <w:spacing w:line="360" w:lineRule="auto"/>
        <w:ind w:firstLine="480"/>
        <w:rPr>
          <w:bCs/>
          <w:sz w:val="24"/>
        </w:rPr>
      </w:pPr>
      <w:r>
        <w:rPr>
          <w:rFonts w:hint="eastAsia"/>
          <w:bCs/>
          <w:sz w:val="24"/>
        </w:rPr>
        <w:t>6</w:t>
      </w:r>
      <w:r>
        <w:rPr>
          <w:bCs/>
          <w:sz w:val="24"/>
        </w:rPr>
        <w:t>2</w:t>
      </w:r>
      <w:r>
        <w:rPr>
          <w:rFonts w:hint="eastAsia"/>
          <w:bCs/>
          <w:sz w:val="24"/>
        </w:rPr>
        <w:t>、信用衍生品：指符合证券交易所或银行间市场相关业务规则，专门用</w:t>
      </w:r>
      <w:r>
        <w:rPr>
          <w:rFonts w:hint="eastAsia"/>
          <w:bCs/>
          <w:sz w:val="24"/>
        </w:rPr>
        <w:lastRenderedPageBreak/>
        <w:t>于管理信用风险的信用衍生工具</w:t>
      </w:r>
    </w:p>
    <w:p w14:paraId="4871DD75" w14:textId="77777777" w:rsidR="007C736D" w:rsidRDefault="00662CFB">
      <w:pPr>
        <w:spacing w:line="360" w:lineRule="auto"/>
        <w:ind w:firstLine="480"/>
        <w:rPr>
          <w:bCs/>
          <w:sz w:val="24"/>
        </w:rPr>
      </w:pPr>
      <w:r>
        <w:rPr>
          <w:rFonts w:hint="eastAsia"/>
          <w:bCs/>
          <w:sz w:val="24"/>
        </w:rPr>
        <w:t>6</w:t>
      </w:r>
      <w:r>
        <w:rPr>
          <w:bCs/>
          <w:sz w:val="24"/>
        </w:rPr>
        <w:t>3</w:t>
      </w:r>
      <w:r>
        <w:rPr>
          <w:rFonts w:hint="eastAsia"/>
          <w:bCs/>
          <w:sz w:val="24"/>
        </w:rPr>
        <w:t>、信用保护买方：亦称信用保护购买方，指接受信用风险保护的一方</w:t>
      </w:r>
    </w:p>
    <w:p w14:paraId="6EDD2D7B" w14:textId="77777777" w:rsidR="007C736D" w:rsidRDefault="00662CFB">
      <w:pPr>
        <w:spacing w:line="360" w:lineRule="auto"/>
        <w:ind w:firstLine="480"/>
        <w:rPr>
          <w:bCs/>
          <w:sz w:val="24"/>
        </w:rPr>
      </w:pPr>
      <w:r>
        <w:rPr>
          <w:rFonts w:hint="eastAsia"/>
          <w:bCs/>
          <w:sz w:val="24"/>
        </w:rPr>
        <w:t>6</w:t>
      </w:r>
      <w:r>
        <w:rPr>
          <w:bCs/>
          <w:sz w:val="24"/>
        </w:rPr>
        <w:t>4</w:t>
      </w:r>
      <w:r>
        <w:rPr>
          <w:rFonts w:hint="eastAsia"/>
          <w:bCs/>
          <w:sz w:val="24"/>
        </w:rPr>
        <w:t>、信用保护卖方：亦称信用保护提供方，指提供信用风险保护的一方</w:t>
      </w:r>
    </w:p>
    <w:p w14:paraId="7D3FEF9B" w14:textId="77777777" w:rsidR="007C736D" w:rsidRDefault="00662CFB">
      <w:pPr>
        <w:spacing w:line="360" w:lineRule="auto"/>
        <w:ind w:firstLine="480"/>
        <w:rPr>
          <w:bCs/>
          <w:sz w:val="24"/>
        </w:rPr>
      </w:pPr>
      <w:r>
        <w:rPr>
          <w:bCs/>
          <w:sz w:val="24"/>
        </w:rPr>
        <w:t>65</w:t>
      </w:r>
      <w:r>
        <w:rPr>
          <w:rFonts w:hint="eastAsia"/>
          <w:bCs/>
          <w:sz w:val="24"/>
        </w:rPr>
        <w:t>、信用衍生品名义本金：亦称交易名义本金，</w:t>
      </w:r>
      <w:r>
        <w:rPr>
          <w:rFonts w:hint="eastAsia"/>
          <w:bCs/>
          <w:sz w:val="24"/>
        </w:rPr>
        <w:t>指为信用衍生产品交易提供信用风险保护的金额，各项支付和结算以此金额为计算基准</w:t>
      </w:r>
    </w:p>
    <w:p w14:paraId="119F7D70" w14:textId="77777777" w:rsidR="007C736D" w:rsidRDefault="00662CFB">
      <w:pPr>
        <w:spacing w:line="360" w:lineRule="auto"/>
        <w:ind w:firstLine="480"/>
        <w:rPr>
          <w:bCs/>
          <w:sz w:val="24"/>
        </w:rPr>
      </w:pPr>
      <w:r>
        <w:rPr>
          <w:rFonts w:hint="eastAsia"/>
          <w:bCs/>
          <w:sz w:val="24"/>
        </w:rPr>
        <w:t>6</w:t>
      </w:r>
      <w:r>
        <w:rPr>
          <w:bCs/>
          <w:sz w:val="24"/>
        </w:rPr>
        <w:t>6</w:t>
      </w:r>
      <w:r>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237F3852" w14:textId="77777777" w:rsidR="007C736D" w:rsidRDefault="00662CFB">
      <w:pPr>
        <w:spacing w:line="360" w:lineRule="auto"/>
        <w:ind w:firstLine="480"/>
        <w:rPr>
          <w:bCs/>
          <w:sz w:val="24"/>
        </w:rPr>
      </w:pPr>
      <w:r>
        <w:rPr>
          <w:rFonts w:hint="eastAsia"/>
          <w:bCs/>
          <w:sz w:val="24"/>
        </w:rPr>
        <w:t>6</w:t>
      </w:r>
      <w:r>
        <w:rPr>
          <w:bCs/>
          <w:sz w:val="24"/>
        </w:rPr>
        <w:t>7</w:t>
      </w:r>
      <w:r>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w:t>
      </w:r>
      <w:r>
        <w:rPr>
          <w:rFonts w:hint="eastAsia"/>
          <w:bCs/>
          <w:sz w:val="24"/>
        </w:rPr>
        <w:t>性的资产</w:t>
      </w:r>
    </w:p>
    <w:p w14:paraId="00684E59" w14:textId="77777777" w:rsidR="007C736D" w:rsidRDefault="00662CFB">
      <w:pPr>
        <w:pStyle w:val="1110"/>
        <w:spacing w:before="0" w:after="0"/>
        <w:jc w:val="center"/>
        <w:rPr>
          <w:b w:val="0"/>
          <w:sz w:val="30"/>
        </w:rPr>
      </w:pPr>
      <w:r>
        <w:rPr>
          <w:b w:val="0"/>
        </w:rPr>
        <w:br w:type="page"/>
      </w:r>
      <w:bookmarkStart w:id="53" w:name="_Toc22708"/>
      <w:bookmarkStart w:id="54" w:name="_Toc25072212"/>
      <w:bookmarkStart w:id="55" w:name="_Toc20627"/>
      <w:bookmarkStart w:id="56" w:name="_Toc6683"/>
      <w:bookmarkStart w:id="57" w:name="_Toc13288"/>
      <w:bookmarkStart w:id="58" w:name="_Toc18631"/>
      <w:bookmarkStart w:id="59" w:name="_Toc6149"/>
      <w:bookmarkStart w:id="60" w:name="_Toc545"/>
      <w:bookmarkStart w:id="61" w:name="_Toc136360672"/>
      <w:bookmarkStart w:id="62" w:name="_Toc20318"/>
      <w:bookmarkStart w:id="63" w:name="_Toc24571"/>
      <w:bookmarkStart w:id="64" w:name="_Toc733"/>
      <w:bookmarkStart w:id="65" w:name="_Toc90742688"/>
      <w:bookmarkStart w:id="66" w:name="_Toc22074"/>
      <w:bookmarkStart w:id="67" w:name="_Toc29784"/>
      <w:bookmarkStart w:id="68" w:name="_Toc90742390"/>
      <w:bookmarkStart w:id="69" w:name="_Toc27226"/>
      <w:bookmarkStart w:id="70" w:name="_Toc6714"/>
      <w:bookmarkStart w:id="71" w:name="_Toc16265"/>
      <w:bookmarkStart w:id="72" w:name="_Toc90742321"/>
      <w:bookmarkStart w:id="73" w:name="_Toc15203"/>
      <w:bookmarkStart w:id="74" w:name="_Toc29948"/>
      <w:bookmarkStart w:id="75" w:name="_Toc7151"/>
      <w:bookmarkStart w:id="76" w:name="_Toc3266"/>
      <w:bookmarkStart w:id="77" w:name="_Toc27189"/>
      <w:bookmarkStart w:id="78" w:name="_Toc233456272"/>
      <w:bookmarkStart w:id="79" w:name="_Toc258829400"/>
      <w:r>
        <w:rPr>
          <w:rFonts w:ascii="Times New Roman" w:hint="eastAsia"/>
          <w:b w:val="0"/>
          <w:color w:val="auto"/>
          <w:sz w:val="30"/>
        </w:rPr>
        <w:lastRenderedPageBreak/>
        <w:t>第三部分</w:t>
      </w:r>
      <w:r>
        <w:rPr>
          <w:rFonts w:ascii="Times New Roman"/>
          <w:b w:val="0"/>
          <w:color w:val="auto"/>
          <w:sz w:val="30"/>
        </w:rPr>
        <w:t xml:space="preserve">  </w:t>
      </w:r>
      <w:r>
        <w:rPr>
          <w:rFonts w:ascii="Times New Roman" w:hint="eastAsia"/>
          <w:b w:val="0"/>
          <w:color w:val="auto"/>
          <w:sz w:val="30"/>
        </w:rPr>
        <w:t>基金的基本情况</w:t>
      </w:r>
      <w:bookmarkStart w:id="80" w:name="_Hlt88031774"/>
      <w:bookmarkStart w:id="81" w:name="_Hlt88031741"/>
      <w:bookmarkStart w:id="82" w:name="_Toc79392573"/>
      <w:bookmarkEnd w:id="53"/>
      <w:bookmarkEnd w:id="54"/>
      <w:bookmarkEnd w:id="55"/>
      <w:bookmarkEnd w:id="56"/>
      <w:bookmarkEnd w:id="57"/>
      <w:bookmarkEnd w:id="58"/>
      <w:bookmarkEnd w:id="59"/>
      <w:bookmarkEnd w:id="60"/>
      <w:bookmarkEnd w:id="61"/>
      <w:bookmarkEnd w:id="62"/>
      <w:bookmarkEnd w:id="63"/>
      <w:bookmarkEnd w:id="64"/>
      <w:bookmarkEnd w:id="80"/>
      <w:bookmarkEnd w:id="81"/>
    </w:p>
    <w:p w14:paraId="3544DB2E" w14:textId="77777777" w:rsidR="007C736D" w:rsidRDefault="00662CFB">
      <w:pPr>
        <w:spacing w:line="360" w:lineRule="auto"/>
        <w:ind w:firstLine="480"/>
        <w:rPr>
          <w:bCs/>
          <w:sz w:val="24"/>
        </w:rPr>
      </w:pPr>
      <w:r>
        <w:rPr>
          <w:bCs/>
          <w:sz w:val="24"/>
        </w:rPr>
        <w:t>一、基金名称</w:t>
      </w:r>
      <w:bookmarkEnd w:id="82"/>
    </w:p>
    <w:p w14:paraId="497E3EAC" w14:textId="77777777" w:rsidR="007C736D" w:rsidRDefault="00662CFB">
      <w:pPr>
        <w:spacing w:line="360" w:lineRule="auto"/>
        <w:ind w:firstLine="480"/>
        <w:rPr>
          <w:bCs/>
          <w:sz w:val="24"/>
        </w:rPr>
      </w:pPr>
      <w:bookmarkStart w:id="83" w:name="_Toc79392574"/>
      <w:r>
        <w:rPr>
          <w:rFonts w:hint="eastAsia"/>
          <w:bCs/>
          <w:sz w:val="24"/>
        </w:rPr>
        <w:t>平安港股通科技精选混合型证券投资基金</w:t>
      </w:r>
    </w:p>
    <w:p w14:paraId="0D3DED02" w14:textId="77777777" w:rsidR="007C736D" w:rsidRDefault="007C736D">
      <w:pPr>
        <w:spacing w:line="360" w:lineRule="auto"/>
        <w:ind w:firstLine="480"/>
        <w:rPr>
          <w:bCs/>
          <w:sz w:val="24"/>
        </w:rPr>
      </w:pPr>
    </w:p>
    <w:p w14:paraId="0815AB42" w14:textId="77777777" w:rsidR="007C736D" w:rsidRDefault="00662CFB">
      <w:pPr>
        <w:spacing w:line="360" w:lineRule="auto"/>
        <w:ind w:firstLine="480"/>
        <w:rPr>
          <w:bCs/>
          <w:sz w:val="24"/>
        </w:rPr>
      </w:pPr>
      <w:r>
        <w:rPr>
          <w:bCs/>
          <w:sz w:val="24"/>
        </w:rPr>
        <w:t>二、基金的类别</w:t>
      </w:r>
      <w:bookmarkEnd w:id="83"/>
    </w:p>
    <w:p w14:paraId="0E458940" w14:textId="77777777" w:rsidR="007C736D" w:rsidRDefault="00662CFB">
      <w:pPr>
        <w:spacing w:line="360" w:lineRule="auto"/>
        <w:ind w:left="796" w:hanging="256"/>
        <w:rPr>
          <w:bCs/>
          <w:sz w:val="24"/>
        </w:rPr>
      </w:pPr>
      <w:r>
        <w:rPr>
          <w:rFonts w:hint="eastAsia"/>
          <w:bCs/>
          <w:sz w:val="24"/>
        </w:rPr>
        <w:t>混合型</w:t>
      </w:r>
      <w:r>
        <w:rPr>
          <w:bCs/>
          <w:sz w:val="24"/>
        </w:rPr>
        <w:t>证券投资基金</w:t>
      </w:r>
      <w:bookmarkStart w:id="84" w:name="_Toc79392575"/>
    </w:p>
    <w:p w14:paraId="03A7AE87" w14:textId="77777777" w:rsidR="007C736D" w:rsidRDefault="007C736D">
      <w:pPr>
        <w:spacing w:line="360" w:lineRule="auto"/>
        <w:ind w:left="796" w:hanging="256"/>
        <w:rPr>
          <w:bCs/>
          <w:sz w:val="24"/>
        </w:rPr>
      </w:pPr>
    </w:p>
    <w:p w14:paraId="30BD5F2D" w14:textId="77777777" w:rsidR="007C736D" w:rsidRDefault="00662CFB">
      <w:pPr>
        <w:spacing w:line="360" w:lineRule="auto"/>
        <w:ind w:firstLine="480"/>
        <w:rPr>
          <w:bCs/>
          <w:sz w:val="24"/>
        </w:rPr>
      </w:pPr>
      <w:r>
        <w:rPr>
          <w:bCs/>
          <w:sz w:val="24"/>
        </w:rPr>
        <w:t>三、基金的运作方式</w:t>
      </w:r>
    </w:p>
    <w:p w14:paraId="2DD7BF47" w14:textId="77777777" w:rsidR="007C736D" w:rsidRDefault="00662CFB">
      <w:pPr>
        <w:spacing w:line="360" w:lineRule="auto"/>
        <w:ind w:left="796" w:hanging="256"/>
        <w:rPr>
          <w:bCs/>
          <w:sz w:val="24"/>
        </w:rPr>
      </w:pPr>
      <w:r>
        <w:rPr>
          <w:bCs/>
          <w:sz w:val="24"/>
        </w:rPr>
        <w:t>契约型开放式</w:t>
      </w:r>
    </w:p>
    <w:p w14:paraId="50CF1348" w14:textId="77777777" w:rsidR="007C736D" w:rsidRDefault="007C736D">
      <w:pPr>
        <w:spacing w:line="360" w:lineRule="auto"/>
        <w:ind w:left="796" w:hanging="256"/>
        <w:rPr>
          <w:bCs/>
          <w:sz w:val="24"/>
        </w:rPr>
      </w:pPr>
    </w:p>
    <w:p w14:paraId="22A9552B" w14:textId="77777777" w:rsidR="007C736D" w:rsidRDefault="00662CFB">
      <w:pPr>
        <w:spacing w:line="360" w:lineRule="auto"/>
        <w:ind w:firstLine="480"/>
        <w:rPr>
          <w:bCs/>
          <w:sz w:val="24"/>
        </w:rPr>
      </w:pPr>
      <w:r>
        <w:rPr>
          <w:rFonts w:hint="eastAsia"/>
          <w:bCs/>
          <w:sz w:val="24"/>
        </w:rPr>
        <w:t>四、基金</w:t>
      </w:r>
      <w:r>
        <w:rPr>
          <w:bCs/>
          <w:sz w:val="24"/>
        </w:rPr>
        <w:t>的投资目标</w:t>
      </w:r>
      <w:bookmarkEnd w:id="84"/>
    </w:p>
    <w:p w14:paraId="4F8DF6D3" w14:textId="6D33A90C" w:rsidR="007C736D" w:rsidRDefault="00662CFB">
      <w:pPr>
        <w:spacing w:line="360" w:lineRule="auto"/>
        <w:ind w:firstLine="480"/>
        <w:rPr>
          <w:sz w:val="24"/>
        </w:rPr>
      </w:pPr>
      <w:bookmarkStart w:id="85" w:name="_Toc79392576"/>
      <w:r>
        <w:rPr>
          <w:rFonts w:hint="eastAsia"/>
          <w:sz w:val="24"/>
        </w:rPr>
        <w:t>本基金主要投资科技主题相关股票资产</w:t>
      </w:r>
      <w:r>
        <w:rPr>
          <w:rFonts w:hint="eastAsia"/>
          <w:sz w:val="24"/>
        </w:rPr>
        <w:t>，在严格控制风险的前提下，力争实现基金资产的长期稳健增值。</w:t>
      </w:r>
    </w:p>
    <w:p w14:paraId="1FD67C2B" w14:textId="77777777" w:rsidR="007C736D" w:rsidRDefault="007C736D">
      <w:pPr>
        <w:spacing w:line="360" w:lineRule="auto"/>
        <w:ind w:firstLine="480"/>
        <w:rPr>
          <w:sz w:val="24"/>
        </w:rPr>
      </w:pPr>
    </w:p>
    <w:p w14:paraId="78285CD3" w14:textId="77777777" w:rsidR="007C736D" w:rsidRDefault="00662CFB">
      <w:pPr>
        <w:spacing w:line="360" w:lineRule="auto"/>
        <w:ind w:firstLine="480"/>
        <w:rPr>
          <w:bCs/>
          <w:sz w:val="24"/>
        </w:rPr>
      </w:pPr>
      <w:r>
        <w:rPr>
          <w:rFonts w:hint="eastAsia"/>
          <w:bCs/>
          <w:sz w:val="24"/>
        </w:rPr>
        <w:t>五</w:t>
      </w:r>
      <w:r>
        <w:rPr>
          <w:bCs/>
          <w:sz w:val="24"/>
        </w:rPr>
        <w:t>、基金的最低募集</w:t>
      </w:r>
      <w:r>
        <w:rPr>
          <w:rFonts w:hint="eastAsia"/>
          <w:bCs/>
          <w:sz w:val="24"/>
        </w:rPr>
        <w:t>份额总额</w:t>
      </w:r>
    </w:p>
    <w:p w14:paraId="1C208052" w14:textId="77777777" w:rsidR="007C736D" w:rsidRDefault="00662CFB">
      <w:pPr>
        <w:spacing w:line="360" w:lineRule="auto"/>
        <w:ind w:firstLine="480"/>
        <w:rPr>
          <w:bCs/>
          <w:sz w:val="24"/>
        </w:rPr>
      </w:pPr>
      <w:r>
        <w:rPr>
          <w:bCs/>
          <w:sz w:val="24"/>
        </w:rPr>
        <w:t>本基金的最低募集份额总额为</w:t>
      </w:r>
      <w:r>
        <w:rPr>
          <w:rFonts w:hint="eastAsia"/>
          <w:bCs/>
          <w:sz w:val="24"/>
        </w:rPr>
        <w:t>2</w:t>
      </w:r>
      <w:r>
        <w:rPr>
          <w:bCs/>
          <w:sz w:val="24"/>
        </w:rPr>
        <w:t>亿份。</w:t>
      </w:r>
    </w:p>
    <w:p w14:paraId="2EF44377" w14:textId="77777777" w:rsidR="007C736D" w:rsidRDefault="007C736D">
      <w:pPr>
        <w:spacing w:line="360" w:lineRule="auto"/>
        <w:ind w:firstLine="480"/>
        <w:rPr>
          <w:bCs/>
          <w:sz w:val="24"/>
        </w:rPr>
      </w:pPr>
    </w:p>
    <w:p w14:paraId="65E22ECB" w14:textId="77777777" w:rsidR="007C736D" w:rsidRDefault="00662CFB">
      <w:pPr>
        <w:spacing w:line="360" w:lineRule="auto"/>
        <w:ind w:firstLine="480"/>
        <w:rPr>
          <w:bCs/>
          <w:sz w:val="24"/>
        </w:rPr>
      </w:pPr>
      <w:r>
        <w:rPr>
          <w:rFonts w:hint="eastAsia"/>
          <w:bCs/>
          <w:sz w:val="24"/>
        </w:rPr>
        <w:t>六</w:t>
      </w:r>
      <w:r>
        <w:rPr>
          <w:bCs/>
          <w:sz w:val="24"/>
        </w:rPr>
        <w:t>、基金份额</w:t>
      </w:r>
      <w:r>
        <w:rPr>
          <w:rFonts w:hint="eastAsia"/>
          <w:bCs/>
          <w:sz w:val="24"/>
        </w:rPr>
        <w:t>发售</w:t>
      </w:r>
      <w:r>
        <w:rPr>
          <w:bCs/>
          <w:sz w:val="24"/>
        </w:rPr>
        <w:t>面值</w:t>
      </w:r>
      <w:bookmarkEnd w:id="85"/>
      <w:r>
        <w:rPr>
          <w:rFonts w:hint="eastAsia"/>
          <w:bCs/>
          <w:sz w:val="24"/>
        </w:rPr>
        <w:t>和</w:t>
      </w:r>
      <w:r>
        <w:rPr>
          <w:bCs/>
          <w:sz w:val="24"/>
        </w:rPr>
        <w:t>认购费用</w:t>
      </w:r>
    </w:p>
    <w:p w14:paraId="76A0A0A0" w14:textId="77777777" w:rsidR="007C736D" w:rsidRDefault="00662CFB">
      <w:pPr>
        <w:spacing w:line="360" w:lineRule="auto"/>
        <w:ind w:firstLine="480"/>
        <w:rPr>
          <w:bCs/>
          <w:sz w:val="24"/>
        </w:rPr>
      </w:pPr>
      <w:r>
        <w:rPr>
          <w:rFonts w:hint="eastAsia"/>
          <w:bCs/>
          <w:sz w:val="24"/>
        </w:rPr>
        <w:t>本基金基金</w:t>
      </w:r>
      <w:r>
        <w:rPr>
          <w:bCs/>
          <w:sz w:val="24"/>
        </w:rPr>
        <w:t>份额发售面值为</w:t>
      </w:r>
      <w:r>
        <w:rPr>
          <w:rFonts w:hint="eastAsia"/>
          <w:bCs/>
          <w:sz w:val="24"/>
        </w:rPr>
        <w:t>人民币</w:t>
      </w:r>
      <w:r>
        <w:rPr>
          <w:bCs/>
          <w:sz w:val="24"/>
        </w:rPr>
        <w:t xml:space="preserve"> </w:t>
      </w:r>
      <w:r>
        <w:rPr>
          <w:rFonts w:hint="eastAsia"/>
          <w:bCs/>
          <w:sz w:val="24"/>
        </w:rPr>
        <w:t>1.00</w:t>
      </w:r>
      <w:r>
        <w:rPr>
          <w:bCs/>
          <w:sz w:val="24"/>
        </w:rPr>
        <w:t>元。</w:t>
      </w:r>
      <w:bookmarkStart w:id="86" w:name="_Toc79392577"/>
    </w:p>
    <w:p w14:paraId="4BE8D15C" w14:textId="77777777" w:rsidR="007C736D" w:rsidRDefault="00662CFB">
      <w:pPr>
        <w:spacing w:line="360" w:lineRule="auto"/>
        <w:ind w:firstLine="480"/>
        <w:jc w:val="left"/>
        <w:rPr>
          <w:bCs/>
          <w:sz w:val="24"/>
        </w:rPr>
      </w:pPr>
      <w:r>
        <w:rPr>
          <w:bCs/>
          <w:sz w:val="24"/>
        </w:rPr>
        <w:t>本基金</w:t>
      </w:r>
      <w:r>
        <w:rPr>
          <w:rFonts w:hint="eastAsia"/>
          <w:bCs/>
          <w:sz w:val="24"/>
        </w:rPr>
        <w:t>A</w:t>
      </w:r>
      <w:r>
        <w:rPr>
          <w:bCs/>
          <w:sz w:val="24"/>
        </w:rPr>
        <w:t>类</w:t>
      </w:r>
      <w:r>
        <w:rPr>
          <w:rFonts w:hint="eastAsia"/>
          <w:bCs/>
          <w:sz w:val="24"/>
        </w:rPr>
        <w:t>基金</w:t>
      </w:r>
      <w:r>
        <w:rPr>
          <w:bCs/>
          <w:sz w:val="24"/>
        </w:rPr>
        <w:t>份额</w:t>
      </w:r>
      <w:r>
        <w:rPr>
          <w:rFonts w:hint="eastAsia"/>
          <w:bCs/>
          <w:sz w:val="24"/>
        </w:rPr>
        <w:t>的</w:t>
      </w:r>
      <w:r>
        <w:rPr>
          <w:bCs/>
          <w:sz w:val="24"/>
        </w:rPr>
        <w:t>认购费率按招募说明书</w:t>
      </w:r>
      <w:r>
        <w:rPr>
          <w:rFonts w:hint="eastAsia"/>
          <w:bCs/>
          <w:sz w:val="24"/>
        </w:rPr>
        <w:t>及</w:t>
      </w:r>
      <w:r>
        <w:rPr>
          <w:bCs/>
          <w:sz w:val="24"/>
        </w:rPr>
        <w:t>基金产品资料</w:t>
      </w:r>
      <w:r>
        <w:rPr>
          <w:rFonts w:hint="eastAsia"/>
          <w:bCs/>
          <w:sz w:val="24"/>
        </w:rPr>
        <w:t>概要</w:t>
      </w:r>
      <w:r>
        <w:rPr>
          <w:bCs/>
          <w:sz w:val="24"/>
        </w:rPr>
        <w:t>的规定执行。</w:t>
      </w:r>
      <w:r>
        <w:rPr>
          <w:rFonts w:hint="eastAsia"/>
          <w:bCs/>
          <w:sz w:val="24"/>
        </w:rPr>
        <w:t>C</w:t>
      </w:r>
      <w:r>
        <w:rPr>
          <w:rFonts w:hint="eastAsia"/>
          <w:bCs/>
          <w:sz w:val="24"/>
        </w:rPr>
        <w:t>类基金份额不收取认购费用。</w:t>
      </w:r>
    </w:p>
    <w:p w14:paraId="76EA60AE" w14:textId="77777777" w:rsidR="007C736D" w:rsidRDefault="007C736D">
      <w:pPr>
        <w:spacing w:line="360" w:lineRule="auto"/>
        <w:ind w:firstLine="480"/>
        <w:jc w:val="left"/>
        <w:rPr>
          <w:bCs/>
          <w:sz w:val="24"/>
        </w:rPr>
      </w:pPr>
    </w:p>
    <w:p w14:paraId="44C82620" w14:textId="77777777" w:rsidR="007C736D" w:rsidRDefault="00662CFB">
      <w:pPr>
        <w:spacing w:line="360" w:lineRule="auto"/>
        <w:ind w:firstLine="480"/>
        <w:rPr>
          <w:bCs/>
          <w:sz w:val="24"/>
        </w:rPr>
      </w:pPr>
      <w:r>
        <w:rPr>
          <w:rFonts w:hint="eastAsia"/>
          <w:bCs/>
          <w:sz w:val="24"/>
        </w:rPr>
        <w:t>七</w:t>
      </w:r>
      <w:r>
        <w:rPr>
          <w:bCs/>
          <w:sz w:val="24"/>
        </w:rPr>
        <w:t>、基金</w:t>
      </w:r>
      <w:bookmarkStart w:id="87" w:name="_Toc79392578"/>
      <w:bookmarkEnd w:id="86"/>
      <w:r>
        <w:rPr>
          <w:bCs/>
          <w:sz w:val="24"/>
        </w:rPr>
        <w:t>存续期限</w:t>
      </w:r>
      <w:bookmarkEnd w:id="87"/>
    </w:p>
    <w:p w14:paraId="079BCAA0" w14:textId="77777777" w:rsidR="007C736D" w:rsidRDefault="00662CFB">
      <w:pPr>
        <w:spacing w:line="360" w:lineRule="auto"/>
        <w:ind w:firstLine="480"/>
        <w:rPr>
          <w:bCs/>
          <w:sz w:val="24"/>
        </w:rPr>
      </w:pPr>
      <w:r>
        <w:rPr>
          <w:bCs/>
          <w:sz w:val="24"/>
        </w:rPr>
        <w:t>不定期</w:t>
      </w:r>
    </w:p>
    <w:p w14:paraId="19990CA1" w14:textId="77777777" w:rsidR="007C736D" w:rsidRDefault="007C736D">
      <w:pPr>
        <w:spacing w:line="360" w:lineRule="auto"/>
        <w:ind w:firstLine="480"/>
        <w:rPr>
          <w:bCs/>
          <w:sz w:val="24"/>
        </w:rPr>
      </w:pPr>
    </w:p>
    <w:p w14:paraId="0407E818" w14:textId="77777777" w:rsidR="007C736D" w:rsidRDefault="00662CFB">
      <w:pPr>
        <w:spacing w:line="360" w:lineRule="auto"/>
        <w:ind w:firstLine="480"/>
        <w:rPr>
          <w:bCs/>
          <w:sz w:val="24"/>
        </w:rPr>
      </w:pPr>
      <w:r>
        <w:rPr>
          <w:rFonts w:hint="eastAsia"/>
          <w:bCs/>
          <w:sz w:val="24"/>
        </w:rPr>
        <w:t>八、基金份额的类别</w:t>
      </w:r>
    </w:p>
    <w:p w14:paraId="3CC3A97A" w14:textId="77777777" w:rsidR="007C736D" w:rsidRDefault="00662CFB">
      <w:pPr>
        <w:spacing w:line="360" w:lineRule="auto"/>
        <w:ind w:firstLine="480"/>
        <w:rPr>
          <w:bCs/>
          <w:sz w:val="24"/>
        </w:rPr>
      </w:pPr>
      <w:r>
        <w:rPr>
          <w:rFonts w:hint="eastAsia"/>
          <w:bCs/>
          <w:sz w:val="24"/>
        </w:rPr>
        <w:t xml:space="preserve">A </w:t>
      </w:r>
      <w:r>
        <w:rPr>
          <w:rFonts w:hint="eastAsia"/>
          <w:bCs/>
          <w:sz w:val="24"/>
        </w:rPr>
        <w:t>类基金份额：指在投资人认购、申购时收取认购费、申购费，但不从本类别基金资产中计提销售服务费的基金份额</w:t>
      </w:r>
      <w:r>
        <w:rPr>
          <w:bCs/>
          <w:sz w:val="24"/>
        </w:rPr>
        <w:t>。</w:t>
      </w:r>
    </w:p>
    <w:p w14:paraId="3353ECF0" w14:textId="77777777" w:rsidR="007C736D" w:rsidRDefault="00662CFB">
      <w:pPr>
        <w:spacing w:line="360" w:lineRule="auto"/>
        <w:ind w:firstLine="480"/>
        <w:rPr>
          <w:bCs/>
          <w:sz w:val="24"/>
        </w:rPr>
      </w:pPr>
      <w:r>
        <w:rPr>
          <w:rFonts w:hint="eastAsia"/>
          <w:bCs/>
          <w:sz w:val="24"/>
        </w:rPr>
        <w:t>C</w:t>
      </w:r>
      <w:r>
        <w:rPr>
          <w:rFonts w:hint="eastAsia"/>
          <w:bCs/>
          <w:sz w:val="24"/>
        </w:rPr>
        <w:t>类基金份额：指在投资人认购、申购时不收取认购费、申购费，而是从</w:t>
      </w:r>
      <w:r>
        <w:rPr>
          <w:rFonts w:hint="eastAsia"/>
          <w:bCs/>
          <w:sz w:val="24"/>
        </w:rPr>
        <w:lastRenderedPageBreak/>
        <w:t>本类别基金资产中计提销售服务费的基金份额。</w:t>
      </w:r>
    </w:p>
    <w:p w14:paraId="08AC2C63" w14:textId="77777777" w:rsidR="007C736D" w:rsidRDefault="00662CFB">
      <w:pPr>
        <w:spacing w:line="360" w:lineRule="auto"/>
        <w:ind w:firstLine="480"/>
        <w:rPr>
          <w:bCs/>
          <w:sz w:val="24"/>
        </w:rPr>
      </w:pPr>
      <w:r>
        <w:rPr>
          <w:rFonts w:hint="eastAsia"/>
          <w:bCs/>
          <w:sz w:val="24"/>
        </w:rPr>
        <w:t>本基金</w:t>
      </w:r>
      <w:r>
        <w:rPr>
          <w:rFonts w:hint="eastAsia"/>
          <w:bCs/>
          <w:sz w:val="24"/>
        </w:rPr>
        <w:t>A</w:t>
      </w:r>
      <w:r>
        <w:rPr>
          <w:rFonts w:hint="eastAsia"/>
          <w:bCs/>
          <w:sz w:val="24"/>
        </w:rPr>
        <w:t>类、</w:t>
      </w:r>
      <w:r>
        <w:rPr>
          <w:rFonts w:hint="eastAsia"/>
          <w:bCs/>
          <w:sz w:val="24"/>
        </w:rPr>
        <w:t>C</w:t>
      </w:r>
      <w:r>
        <w:rPr>
          <w:rFonts w:hint="eastAsia"/>
          <w:bCs/>
          <w:sz w:val="24"/>
        </w:rPr>
        <w:t>类基金份额分别设置基金代码。由于各类份额的收费方式不同，本基金各类基金份额将分别计算基金份额净值并单独公告。</w:t>
      </w:r>
    </w:p>
    <w:p w14:paraId="501EE436" w14:textId="77777777" w:rsidR="007C736D" w:rsidRDefault="00662CFB">
      <w:pPr>
        <w:spacing w:line="360" w:lineRule="auto"/>
        <w:ind w:firstLine="480"/>
        <w:rPr>
          <w:bCs/>
          <w:sz w:val="24"/>
        </w:rPr>
      </w:pPr>
      <w:r>
        <w:rPr>
          <w:rFonts w:hint="eastAsia"/>
          <w:bCs/>
          <w:sz w:val="24"/>
        </w:rPr>
        <w:t>投资人可自行选择认购、申购的基金份额类别。</w:t>
      </w:r>
    </w:p>
    <w:p w14:paraId="74DFF7F5" w14:textId="77777777" w:rsidR="007C736D" w:rsidRDefault="00662CFB">
      <w:pPr>
        <w:spacing w:line="360" w:lineRule="auto"/>
        <w:ind w:firstLine="480"/>
        <w:rPr>
          <w:bCs/>
          <w:sz w:val="24"/>
        </w:rPr>
      </w:pPr>
      <w:r>
        <w:rPr>
          <w:rFonts w:hint="eastAsia"/>
          <w:bCs/>
          <w:sz w:val="24"/>
        </w:rPr>
        <w:t>本基金有关基金份额类</w:t>
      </w:r>
      <w:r>
        <w:rPr>
          <w:rFonts w:hint="eastAsia"/>
          <w:bCs/>
          <w:sz w:val="24"/>
        </w:rPr>
        <w:t>别的具体设置、费率水平等由基金管理人确定，并在招募说明书中列示。</w:t>
      </w:r>
    </w:p>
    <w:p w14:paraId="29476E86" w14:textId="77777777" w:rsidR="007C736D" w:rsidRDefault="00662CFB">
      <w:pPr>
        <w:spacing w:line="360" w:lineRule="auto"/>
        <w:ind w:firstLine="480"/>
        <w:rPr>
          <w:bCs/>
          <w:sz w:val="24"/>
        </w:rPr>
      </w:pPr>
      <w:r>
        <w:rPr>
          <w:rFonts w:hint="eastAsia"/>
          <w:bCs/>
          <w:sz w:val="24"/>
        </w:rPr>
        <w:t>根据基金运作情况，在对现有基金份额持有人利益无</w:t>
      </w:r>
      <w:r>
        <w:rPr>
          <w:bCs/>
          <w:sz w:val="24"/>
        </w:rPr>
        <w:t>实质性</w:t>
      </w:r>
      <w:r>
        <w:rPr>
          <w:rFonts w:hint="eastAsia"/>
          <w:bCs/>
          <w:sz w:val="24"/>
        </w:rPr>
        <w:t>不利影响的前提下，基金管理人可以不召开基金份额持有人大会，在履行适当程序后，经与基金托管人协商后停止现有基金份额类别的销售、或者增加新的基金份额类别。</w:t>
      </w:r>
    </w:p>
    <w:p w14:paraId="17A54D33" w14:textId="77777777" w:rsidR="007C736D" w:rsidRDefault="00662CFB">
      <w:pPr>
        <w:pStyle w:val="1110"/>
        <w:spacing w:before="0" w:after="0"/>
        <w:jc w:val="center"/>
        <w:rPr>
          <w:rFonts w:ascii="Times New Roman"/>
          <w:b w:val="0"/>
          <w:color w:val="auto"/>
          <w:sz w:val="30"/>
        </w:rPr>
      </w:pPr>
      <w:r>
        <w:rPr>
          <w:rFonts w:ascii="Times New Roman"/>
          <w:b w:val="0"/>
          <w:bCs/>
          <w:color w:val="auto"/>
          <w:sz w:val="21"/>
        </w:rPr>
        <w:br w:type="page"/>
      </w:r>
    </w:p>
    <w:p w14:paraId="2A51FA2B" w14:textId="77777777" w:rsidR="007C736D" w:rsidRDefault="00662CFB">
      <w:pPr>
        <w:pStyle w:val="1110"/>
        <w:spacing w:before="0" w:after="0"/>
        <w:jc w:val="center"/>
        <w:rPr>
          <w:rFonts w:ascii="Times New Roman"/>
          <w:b w:val="0"/>
          <w:color w:val="auto"/>
          <w:sz w:val="30"/>
        </w:rPr>
      </w:pPr>
      <w:bookmarkStart w:id="88" w:name="_Toc25072213"/>
      <w:bookmarkStart w:id="89" w:name="_Toc136360673"/>
      <w:r>
        <w:rPr>
          <w:rFonts w:ascii="Times New Roman" w:hint="eastAsia"/>
          <w:b w:val="0"/>
          <w:color w:val="auto"/>
          <w:sz w:val="30"/>
        </w:rPr>
        <w:lastRenderedPageBreak/>
        <w:t>第四部分</w:t>
      </w:r>
      <w:r>
        <w:rPr>
          <w:rFonts w:ascii="Times New Roman" w:hint="eastAsia"/>
          <w:b w:val="0"/>
          <w:color w:val="auto"/>
          <w:sz w:val="30"/>
        </w:rPr>
        <w:t xml:space="preserve"> </w:t>
      </w:r>
      <w:r>
        <w:rPr>
          <w:rFonts w:ascii="Times New Roman"/>
          <w:b w:val="0"/>
          <w:color w:val="auto"/>
          <w:sz w:val="30"/>
        </w:rPr>
        <w:t xml:space="preserve"> </w:t>
      </w:r>
      <w:r>
        <w:rPr>
          <w:rFonts w:ascii="Times New Roman" w:hint="eastAsia"/>
          <w:b w:val="0"/>
          <w:color w:val="auto"/>
          <w:sz w:val="30"/>
        </w:rPr>
        <w:t>基金份额的发售</w:t>
      </w:r>
      <w:bookmarkEnd w:id="65"/>
      <w:bookmarkEnd w:id="66"/>
      <w:bookmarkEnd w:id="67"/>
      <w:bookmarkEnd w:id="68"/>
      <w:bookmarkEnd w:id="69"/>
      <w:bookmarkEnd w:id="70"/>
      <w:bookmarkEnd w:id="71"/>
      <w:bookmarkEnd w:id="72"/>
      <w:bookmarkEnd w:id="73"/>
      <w:bookmarkEnd w:id="74"/>
      <w:bookmarkEnd w:id="75"/>
      <w:bookmarkEnd w:id="76"/>
      <w:bookmarkEnd w:id="77"/>
      <w:bookmarkEnd w:id="88"/>
      <w:bookmarkEnd w:id="89"/>
    </w:p>
    <w:p w14:paraId="1FCCA21C" w14:textId="77777777" w:rsidR="007C736D" w:rsidRDefault="007C736D">
      <w:pPr>
        <w:spacing w:line="360" w:lineRule="auto"/>
        <w:ind w:firstLine="420"/>
        <w:rPr>
          <w:bCs/>
        </w:rPr>
      </w:pPr>
    </w:p>
    <w:p w14:paraId="7AFD77B7" w14:textId="77777777" w:rsidR="007C736D" w:rsidRDefault="00662CFB">
      <w:pPr>
        <w:spacing w:line="360" w:lineRule="auto"/>
        <w:ind w:firstLine="480"/>
        <w:rPr>
          <w:bCs/>
          <w:sz w:val="24"/>
        </w:rPr>
      </w:pPr>
      <w:r>
        <w:rPr>
          <w:bCs/>
          <w:sz w:val="24"/>
        </w:rPr>
        <w:t>一、基金份额的发售时间、发售方式、发售对象</w:t>
      </w:r>
    </w:p>
    <w:p w14:paraId="53EA009E" w14:textId="77777777" w:rsidR="007C736D" w:rsidRDefault="00662CFB">
      <w:pPr>
        <w:spacing w:line="360" w:lineRule="auto"/>
        <w:ind w:firstLine="480"/>
        <w:rPr>
          <w:bCs/>
          <w:sz w:val="24"/>
        </w:rPr>
      </w:pPr>
      <w:r>
        <w:rPr>
          <w:bCs/>
          <w:sz w:val="24"/>
        </w:rPr>
        <w:t>1</w:t>
      </w:r>
      <w:r>
        <w:rPr>
          <w:bCs/>
          <w:sz w:val="24"/>
        </w:rPr>
        <w:t>、发售时间</w:t>
      </w:r>
    </w:p>
    <w:p w14:paraId="7184BD86" w14:textId="77777777" w:rsidR="007C736D" w:rsidRDefault="00662CFB">
      <w:pPr>
        <w:spacing w:line="360" w:lineRule="auto"/>
        <w:ind w:firstLine="480"/>
        <w:rPr>
          <w:bCs/>
        </w:rPr>
      </w:pPr>
      <w:r>
        <w:rPr>
          <w:bCs/>
          <w:sz w:val="24"/>
        </w:rPr>
        <w:t>自基金份额发售之日起最长不得超过</w:t>
      </w:r>
      <w:r>
        <w:rPr>
          <w:rFonts w:hint="eastAsia"/>
          <w:bCs/>
          <w:sz w:val="24"/>
        </w:rPr>
        <w:t>3</w:t>
      </w:r>
      <w:r>
        <w:rPr>
          <w:bCs/>
          <w:sz w:val="24"/>
        </w:rPr>
        <w:t>个月，具体发售时间见基金份额发售公告。</w:t>
      </w:r>
    </w:p>
    <w:p w14:paraId="20BD062D" w14:textId="77777777" w:rsidR="007C736D" w:rsidRDefault="00662CFB">
      <w:pPr>
        <w:spacing w:line="360" w:lineRule="auto"/>
        <w:ind w:firstLine="480"/>
        <w:rPr>
          <w:bCs/>
          <w:sz w:val="24"/>
        </w:rPr>
      </w:pPr>
      <w:r>
        <w:rPr>
          <w:bCs/>
          <w:sz w:val="24"/>
        </w:rPr>
        <w:t>2</w:t>
      </w:r>
      <w:r>
        <w:rPr>
          <w:bCs/>
          <w:sz w:val="24"/>
        </w:rPr>
        <w:t>、发售方式</w:t>
      </w:r>
    </w:p>
    <w:p w14:paraId="3EE60D6D" w14:textId="77777777" w:rsidR="007C736D" w:rsidRDefault="00662CFB">
      <w:pPr>
        <w:spacing w:line="360" w:lineRule="auto"/>
        <w:ind w:firstLine="480"/>
        <w:rPr>
          <w:bCs/>
          <w:sz w:val="24"/>
        </w:rPr>
      </w:pPr>
      <w:r>
        <w:rPr>
          <w:bCs/>
          <w:sz w:val="24"/>
        </w:rPr>
        <w:t>通过各销售机构的基金销售网点公开发售，各销售机构的具体名单见基金份额发售公告以及基金管理人届时发布的</w:t>
      </w:r>
      <w:r>
        <w:rPr>
          <w:rFonts w:hint="eastAsia"/>
          <w:bCs/>
          <w:sz w:val="24"/>
        </w:rPr>
        <w:t>调整</w:t>
      </w:r>
      <w:r>
        <w:rPr>
          <w:bCs/>
          <w:sz w:val="24"/>
        </w:rPr>
        <w:t>销售机构的相关公告</w:t>
      </w:r>
      <w:r>
        <w:rPr>
          <w:rFonts w:hint="eastAsia"/>
          <w:bCs/>
          <w:sz w:val="24"/>
        </w:rPr>
        <w:t>或在基金管理人网站公示</w:t>
      </w:r>
      <w:r>
        <w:rPr>
          <w:bCs/>
          <w:sz w:val="24"/>
        </w:rPr>
        <w:t>。</w:t>
      </w:r>
    </w:p>
    <w:p w14:paraId="46BC67F0" w14:textId="77777777" w:rsidR="007C736D" w:rsidRDefault="00662CFB">
      <w:pPr>
        <w:spacing w:line="360" w:lineRule="auto"/>
        <w:ind w:firstLine="480"/>
        <w:rPr>
          <w:bCs/>
          <w:sz w:val="24"/>
        </w:rPr>
      </w:pPr>
      <w:r>
        <w:rPr>
          <w:bCs/>
          <w:sz w:val="24"/>
        </w:rPr>
        <w:t>3</w:t>
      </w:r>
      <w:r>
        <w:rPr>
          <w:bCs/>
          <w:sz w:val="24"/>
        </w:rPr>
        <w:t>、发售对象</w:t>
      </w:r>
    </w:p>
    <w:p w14:paraId="305D860B" w14:textId="77777777" w:rsidR="007C736D" w:rsidRDefault="00662CFB">
      <w:pPr>
        <w:spacing w:line="360" w:lineRule="auto"/>
        <w:ind w:firstLine="480"/>
        <w:rPr>
          <w:bCs/>
          <w:sz w:val="24"/>
        </w:rPr>
      </w:pPr>
      <w:r>
        <w:rPr>
          <w:rFonts w:hint="eastAsia"/>
          <w:bCs/>
          <w:sz w:val="24"/>
        </w:rPr>
        <w:t>符合法律法规规定的可投资于证券投资基金的个人投资者、机构投资者、合格境外投资者以及法律法规或中国证监会允许购买证券投资基金的其他投资人。</w:t>
      </w:r>
    </w:p>
    <w:p w14:paraId="55731E6F" w14:textId="77777777" w:rsidR="007C736D" w:rsidRDefault="00662CFB">
      <w:pPr>
        <w:spacing w:line="360" w:lineRule="auto"/>
        <w:ind w:firstLine="480"/>
        <w:rPr>
          <w:bCs/>
          <w:sz w:val="24"/>
        </w:rPr>
      </w:pPr>
      <w:r>
        <w:rPr>
          <w:bCs/>
          <w:sz w:val="24"/>
        </w:rPr>
        <w:t>二、基金份额的认购</w:t>
      </w:r>
    </w:p>
    <w:p w14:paraId="7E962780" w14:textId="77777777" w:rsidR="007C736D" w:rsidRDefault="00662CFB">
      <w:pPr>
        <w:spacing w:line="360" w:lineRule="auto"/>
        <w:ind w:firstLine="480"/>
        <w:rPr>
          <w:bCs/>
          <w:sz w:val="24"/>
        </w:rPr>
      </w:pPr>
      <w:r>
        <w:rPr>
          <w:bCs/>
          <w:sz w:val="24"/>
        </w:rPr>
        <w:t>1</w:t>
      </w:r>
      <w:r>
        <w:rPr>
          <w:bCs/>
          <w:sz w:val="24"/>
        </w:rPr>
        <w:t>、认购费用</w:t>
      </w:r>
    </w:p>
    <w:p w14:paraId="6170852A" w14:textId="77777777" w:rsidR="007C736D" w:rsidRDefault="00662CFB">
      <w:pPr>
        <w:spacing w:line="360" w:lineRule="auto"/>
        <w:ind w:firstLine="480"/>
        <w:rPr>
          <w:bCs/>
          <w:sz w:val="24"/>
        </w:rPr>
      </w:pPr>
      <w:r>
        <w:rPr>
          <w:bCs/>
          <w:sz w:val="24"/>
        </w:rPr>
        <w:t>本基金</w:t>
      </w:r>
      <w:r>
        <w:rPr>
          <w:rFonts w:hint="eastAsia"/>
          <w:bCs/>
          <w:sz w:val="24"/>
        </w:rPr>
        <w:t>A</w:t>
      </w:r>
      <w:r>
        <w:rPr>
          <w:bCs/>
          <w:sz w:val="24"/>
        </w:rPr>
        <w:t>类</w:t>
      </w:r>
      <w:r>
        <w:rPr>
          <w:rFonts w:hint="eastAsia"/>
          <w:bCs/>
          <w:sz w:val="24"/>
        </w:rPr>
        <w:t>基金</w:t>
      </w:r>
      <w:r>
        <w:rPr>
          <w:bCs/>
          <w:sz w:val="24"/>
        </w:rPr>
        <w:t>份额的认购费率由基金管理人决定，并在招募说明书</w:t>
      </w:r>
      <w:r>
        <w:rPr>
          <w:rFonts w:hint="eastAsia"/>
          <w:bCs/>
          <w:sz w:val="24"/>
        </w:rPr>
        <w:t>及基金产品资料概要</w:t>
      </w:r>
      <w:r>
        <w:rPr>
          <w:bCs/>
          <w:sz w:val="24"/>
        </w:rPr>
        <w:t>中列示。基金认购费用不列入基金财产。</w:t>
      </w:r>
      <w:r>
        <w:rPr>
          <w:rFonts w:hint="eastAsia"/>
          <w:bCs/>
          <w:sz w:val="24"/>
        </w:rPr>
        <w:t>本基金认购费用仅适用于</w:t>
      </w:r>
      <w:r>
        <w:rPr>
          <w:rFonts w:hint="eastAsia"/>
          <w:bCs/>
          <w:sz w:val="24"/>
        </w:rPr>
        <w:t>A</w:t>
      </w:r>
      <w:r>
        <w:rPr>
          <w:rFonts w:hint="eastAsia"/>
          <w:bCs/>
          <w:sz w:val="24"/>
        </w:rPr>
        <w:t>类基金份额。</w:t>
      </w:r>
      <w:r>
        <w:rPr>
          <w:rFonts w:hint="eastAsia"/>
          <w:bCs/>
          <w:sz w:val="24"/>
        </w:rPr>
        <w:t>C</w:t>
      </w:r>
      <w:r>
        <w:rPr>
          <w:rFonts w:hint="eastAsia"/>
          <w:bCs/>
          <w:sz w:val="24"/>
        </w:rPr>
        <w:t>类基金份额不收取认购费用。</w:t>
      </w:r>
    </w:p>
    <w:p w14:paraId="47DCE3EB" w14:textId="77777777" w:rsidR="007C736D" w:rsidRDefault="00662CFB">
      <w:pPr>
        <w:spacing w:line="360" w:lineRule="auto"/>
        <w:ind w:firstLine="480"/>
        <w:rPr>
          <w:bCs/>
          <w:sz w:val="24"/>
        </w:rPr>
      </w:pPr>
      <w:r>
        <w:rPr>
          <w:bCs/>
          <w:sz w:val="24"/>
        </w:rPr>
        <w:t>2</w:t>
      </w:r>
      <w:r>
        <w:rPr>
          <w:bCs/>
          <w:sz w:val="24"/>
        </w:rPr>
        <w:t>、募集期利息的处理方式</w:t>
      </w:r>
    </w:p>
    <w:p w14:paraId="3C6CB80A" w14:textId="77777777" w:rsidR="007C736D" w:rsidRDefault="00662CFB">
      <w:pPr>
        <w:spacing w:line="360" w:lineRule="auto"/>
        <w:ind w:firstLine="480"/>
        <w:rPr>
          <w:bCs/>
          <w:sz w:val="24"/>
        </w:rPr>
      </w:pPr>
      <w:r>
        <w:rPr>
          <w:bCs/>
          <w:sz w:val="24"/>
        </w:rPr>
        <w:t>有效认购款项在募集期间产生的利息将折算为基金份额归基金份额持有人所有，其中利息转份额</w:t>
      </w:r>
      <w:r>
        <w:rPr>
          <w:rFonts w:hint="eastAsia"/>
          <w:bCs/>
          <w:sz w:val="24"/>
        </w:rPr>
        <w:t>的具体数额</w:t>
      </w:r>
      <w:r>
        <w:rPr>
          <w:bCs/>
          <w:sz w:val="24"/>
        </w:rPr>
        <w:t>以登记机构的记录为准。</w:t>
      </w:r>
    </w:p>
    <w:p w14:paraId="2050CAF3" w14:textId="77777777" w:rsidR="007C736D" w:rsidRDefault="00662CFB">
      <w:pPr>
        <w:spacing w:line="360" w:lineRule="auto"/>
        <w:ind w:firstLine="480"/>
        <w:rPr>
          <w:bCs/>
          <w:sz w:val="24"/>
        </w:rPr>
      </w:pPr>
      <w:r>
        <w:rPr>
          <w:bCs/>
          <w:sz w:val="24"/>
        </w:rPr>
        <w:t>3</w:t>
      </w:r>
      <w:r>
        <w:rPr>
          <w:bCs/>
          <w:sz w:val="24"/>
        </w:rPr>
        <w:t>、基金认购份额的计算</w:t>
      </w:r>
    </w:p>
    <w:p w14:paraId="1C51292D" w14:textId="77777777" w:rsidR="007C736D" w:rsidRDefault="00662CFB">
      <w:pPr>
        <w:spacing w:line="360" w:lineRule="auto"/>
        <w:ind w:firstLine="480"/>
        <w:rPr>
          <w:bCs/>
          <w:sz w:val="24"/>
        </w:rPr>
      </w:pPr>
      <w:r>
        <w:rPr>
          <w:bCs/>
          <w:sz w:val="24"/>
        </w:rPr>
        <w:t>基金认购份额具体的计算方法在招募说明书中列示。</w:t>
      </w:r>
    </w:p>
    <w:p w14:paraId="4C4FDDBD" w14:textId="77777777" w:rsidR="007C736D" w:rsidRDefault="00662CFB">
      <w:pPr>
        <w:spacing w:line="360" w:lineRule="auto"/>
        <w:ind w:firstLine="480"/>
        <w:rPr>
          <w:bCs/>
          <w:sz w:val="24"/>
        </w:rPr>
      </w:pPr>
      <w:r>
        <w:rPr>
          <w:bCs/>
          <w:sz w:val="24"/>
        </w:rPr>
        <w:t>4</w:t>
      </w:r>
      <w:r>
        <w:rPr>
          <w:rFonts w:hint="eastAsia"/>
          <w:bCs/>
          <w:sz w:val="24"/>
        </w:rPr>
        <w:t>、</w:t>
      </w:r>
      <w:r>
        <w:rPr>
          <w:bCs/>
          <w:sz w:val="24"/>
        </w:rPr>
        <w:t>认购份额余额的处理方式</w:t>
      </w:r>
    </w:p>
    <w:p w14:paraId="2AFAB4D6" w14:textId="77777777" w:rsidR="007C736D" w:rsidRDefault="00662CFB">
      <w:pPr>
        <w:spacing w:line="360" w:lineRule="auto"/>
        <w:ind w:firstLine="480"/>
        <w:rPr>
          <w:bCs/>
          <w:sz w:val="24"/>
        </w:rPr>
      </w:pPr>
      <w:r>
        <w:rPr>
          <w:rFonts w:hint="eastAsia"/>
          <w:bCs/>
          <w:sz w:val="24"/>
        </w:rPr>
        <w:t>认购份额余额的处理方式在招募说明书中列示</w:t>
      </w:r>
      <w:r>
        <w:rPr>
          <w:bCs/>
          <w:sz w:val="24"/>
        </w:rPr>
        <w:t>。</w:t>
      </w:r>
    </w:p>
    <w:p w14:paraId="49D567F2" w14:textId="77777777" w:rsidR="007C736D" w:rsidRDefault="00662CFB">
      <w:pPr>
        <w:spacing w:line="360" w:lineRule="auto"/>
        <w:ind w:firstLine="480"/>
        <w:rPr>
          <w:bCs/>
          <w:sz w:val="24"/>
        </w:rPr>
      </w:pPr>
      <w:r>
        <w:rPr>
          <w:rFonts w:hint="eastAsia"/>
          <w:bCs/>
          <w:sz w:val="24"/>
        </w:rPr>
        <w:t>5</w:t>
      </w:r>
      <w:r>
        <w:rPr>
          <w:rFonts w:hint="eastAsia"/>
          <w:bCs/>
          <w:sz w:val="24"/>
        </w:rPr>
        <w:t>、认购申请的确认</w:t>
      </w:r>
    </w:p>
    <w:p w14:paraId="693E6DA7" w14:textId="77777777" w:rsidR="007C736D" w:rsidRDefault="00662CFB">
      <w:pPr>
        <w:spacing w:line="360" w:lineRule="auto"/>
        <w:ind w:firstLine="480"/>
        <w:rPr>
          <w:bCs/>
          <w:sz w:val="24"/>
        </w:rPr>
      </w:pPr>
      <w:r>
        <w:rPr>
          <w:rFonts w:hint="eastAsia"/>
          <w:bCs/>
          <w:sz w:val="24"/>
        </w:rPr>
        <w:t>基金销售机构对认购申请的受理并不代表该申请一定成功，而仅代表销售机构确实接收到认购申请。认购申请的确认以登记机构的确认结果为准。对于</w:t>
      </w:r>
      <w:r>
        <w:rPr>
          <w:rFonts w:hint="eastAsia"/>
          <w:bCs/>
          <w:sz w:val="24"/>
        </w:rPr>
        <w:lastRenderedPageBreak/>
        <w:t>认购申请及认购份额的确认情况，投资人应及时查询并妥善行使合法权利，否则</w:t>
      </w:r>
      <w:r>
        <w:rPr>
          <w:rFonts w:hint="eastAsia"/>
          <w:bCs/>
          <w:sz w:val="24"/>
        </w:rPr>
        <w:t>，由此产生的任何损失由投资者自行承担。</w:t>
      </w:r>
    </w:p>
    <w:p w14:paraId="0867D5AE" w14:textId="77777777" w:rsidR="007C736D" w:rsidRDefault="00662CFB">
      <w:pPr>
        <w:spacing w:line="360" w:lineRule="auto"/>
        <w:ind w:firstLine="480"/>
        <w:rPr>
          <w:bCs/>
          <w:sz w:val="24"/>
        </w:rPr>
      </w:pPr>
      <w:r>
        <w:rPr>
          <w:rFonts w:hint="eastAsia"/>
          <w:bCs/>
          <w:sz w:val="24"/>
        </w:rPr>
        <w:t>三、</w:t>
      </w:r>
      <w:r>
        <w:rPr>
          <w:bCs/>
          <w:sz w:val="24"/>
        </w:rPr>
        <w:t>基金份额认购金额的限制</w:t>
      </w:r>
    </w:p>
    <w:p w14:paraId="79A0EBE5" w14:textId="77777777" w:rsidR="007C736D" w:rsidRDefault="00662CFB">
      <w:pPr>
        <w:spacing w:line="360" w:lineRule="auto"/>
        <w:ind w:firstLine="480"/>
        <w:rPr>
          <w:bCs/>
          <w:sz w:val="24"/>
        </w:rPr>
      </w:pPr>
      <w:r>
        <w:rPr>
          <w:bCs/>
          <w:sz w:val="24"/>
        </w:rPr>
        <w:t>1</w:t>
      </w:r>
      <w:r>
        <w:rPr>
          <w:rFonts w:hint="eastAsia"/>
          <w:bCs/>
          <w:sz w:val="24"/>
        </w:rPr>
        <w:t>、</w:t>
      </w:r>
      <w:r>
        <w:rPr>
          <w:bCs/>
          <w:sz w:val="24"/>
        </w:rPr>
        <w:t>投资人认购时，需按销售机构规定的方式全额缴款。</w:t>
      </w:r>
    </w:p>
    <w:p w14:paraId="2E4092C6" w14:textId="77777777" w:rsidR="007C736D" w:rsidRDefault="00662CFB">
      <w:pPr>
        <w:spacing w:line="360" w:lineRule="auto"/>
        <w:ind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32DD22EB" w14:textId="77777777" w:rsidR="007C736D" w:rsidRDefault="00662CFB">
      <w:pPr>
        <w:spacing w:line="360" w:lineRule="auto"/>
        <w:ind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14:paraId="0474011B" w14:textId="77777777" w:rsidR="007C736D" w:rsidRDefault="00662CFB">
      <w:pPr>
        <w:spacing w:line="360" w:lineRule="auto"/>
        <w:ind w:firstLine="480"/>
        <w:rPr>
          <w:bCs/>
          <w:sz w:val="24"/>
        </w:rPr>
      </w:pPr>
      <w:r>
        <w:rPr>
          <w:rFonts w:hint="eastAsia"/>
          <w:bCs/>
          <w:sz w:val="24"/>
        </w:rPr>
        <w:t>4</w:t>
      </w:r>
      <w:r>
        <w:rPr>
          <w:rFonts w:hint="eastAsia"/>
          <w:bCs/>
          <w:sz w:val="24"/>
        </w:rPr>
        <w:t>、投资人在基金募集期内可以多次认购基金份额。认购申请一经受理不得撤销。</w:t>
      </w:r>
    </w:p>
    <w:p w14:paraId="517B0AA8" w14:textId="77777777" w:rsidR="007C736D" w:rsidRDefault="00662CFB">
      <w:pPr>
        <w:spacing w:line="360" w:lineRule="auto"/>
        <w:ind w:firstLineChars="200" w:firstLine="480"/>
        <w:rPr>
          <w:bCs/>
          <w:sz w:val="24"/>
        </w:rPr>
      </w:pPr>
      <w:r>
        <w:rPr>
          <w:rFonts w:hint="eastAsia"/>
          <w:bCs/>
          <w:sz w:val="24"/>
        </w:rPr>
        <w:t>5</w:t>
      </w:r>
      <w:r>
        <w:rPr>
          <w:rFonts w:hint="eastAsia"/>
          <w:bCs/>
          <w:sz w:val="24"/>
        </w:rPr>
        <w:t>、如本基金单个投资人累计认购的基金份额数达到或者超过基金总份额的</w:t>
      </w:r>
      <w:r>
        <w:rPr>
          <w:rFonts w:hint="eastAsia"/>
          <w:bCs/>
          <w:sz w:val="24"/>
        </w:rPr>
        <w:t>50%</w:t>
      </w:r>
      <w:r>
        <w:rPr>
          <w:rFonts w:hint="eastAsia"/>
          <w:bCs/>
          <w:sz w:val="24"/>
        </w:rPr>
        <w:t>，基金管理人可以采取比例确认等方</w:t>
      </w:r>
      <w:r>
        <w:rPr>
          <w:rFonts w:hint="eastAsia"/>
          <w:bCs/>
          <w:sz w:val="24"/>
        </w:rPr>
        <w:t>式对该投资人的认购申请进行限制。基金管理人接受某笔或者某些认购申请有可能导致投资者变相规避前述</w:t>
      </w:r>
      <w:r>
        <w:rPr>
          <w:rFonts w:hint="eastAsia"/>
          <w:bCs/>
          <w:sz w:val="24"/>
        </w:rPr>
        <w:t xml:space="preserve"> 50%</w:t>
      </w:r>
      <w:r>
        <w:rPr>
          <w:rFonts w:hint="eastAsia"/>
          <w:bCs/>
          <w:sz w:val="24"/>
        </w:rPr>
        <w:t>比例要求的，基金管理人有权拒绝该等全部或者部分认购申请。投资人认购的基金份额数以基金合同生效后登记机构的确认为准。</w:t>
      </w:r>
    </w:p>
    <w:p w14:paraId="0907B7D9" w14:textId="77777777" w:rsidR="007C736D" w:rsidRDefault="007C736D">
      <w:pPr>
        <w:spacing w:line="360" w:lineRule="auto"/>
        <w:ind w:firstLineChars="200" w:firstLine="480"/>
        <w:rPr>
          <w:bCs/>
          <w:sz w:val="24"/>
        </w:rPr>
      </w:pPr>
    </w:p>
    <w:p w14:paraId="61055046" w14:textId="77777777" w:rsidR="007C736D" w:rsidRDefault="00662CFB">
      <w:pPr>
        <w:pStyle w:val="1110"/>
        <w:spacing w:before="0" w:after="0"/>
        <w:jc w:val="center"/>
        <w:rPr>
          <w:rFonts w:ascii="Times New Roman"/>
          <w:b w:val="0"/>
          <w:color w:val="auto"/>
          <w:sz w:val="30"/>
        </w:rPr>
      </w:pPr>
      <w:r>
        <w:rPr>
          <w:rFonts w:ascii="Times New Roman"/>
          <w:b w:val="0"/>
          <w:color w:val="auto"/>
          <w:sz w:val="21"/>
        </w:rPr>
        <w:br w:type="page"/>
      </w:r>
      <w:bookmarkStart w:id="90" w:name="_Toc141703885"/>
      <w:bookmarkStart w:id="91" w:name="_Toc136360674"/>
      <w:bookmarkStart w:id="92" w:name="_Toc26986"/>
      <w:bookmarkStart w:id="93" w:name="_Toc21988"/>
      <w:bookmarkStart w:id="94" w:name="_Toc7848"/>
      <w:bookmarkStart w:id="95" w:name="_Toc17912"/>
      <w:bookmarkStart w:id="96" w:name="_Toc18797"/>
      <w:bookmarkStart w:id="97" w:name="_Toc18526"/>
      <w:bookmarkStart w:id="98" w:name="_Toc4741"/>
      <w:bookmarkStart w:id="99" w:name="_Toc25072214"/>
      <w:bookmarkStart w:id="100" w:name="_Toc1823"/>
      <w:bookmarkStart w:id="101" w:name="_Toc18329"/>
      <w:bookmarkStart w:id="102" w:name="_Toc139991735"/>
      <w:bookmarkStart w:id="103" w:name="_Toc14893"/>
      <w:r>
        <w:rPr>
          <w:rFonts w:ascii="Times New Roman" w:hint="eastAsia"/>
          <w:b w:val="0"/>
          <w:color w:val="auto"/>
          <w:sz w:val="30"/>
        </w:rPr>
        <w:lastRenderedPageBreak/>
        <w:t>第五部分</w:t>
      </w:r>
      <w:r>
        <w:rPr>
          <w:rFonts w:ascii="Times New Roman"/>
          <w:b w:val="0"/>
          <w:color w:val="auto"/>
          <w:sz w:val="30"/>
        </w:rPr>
        <w:t xml:space="preserve"> </w:t>
      </w:r>
      <w:r>
        <w:rPr>
          <w:rFonts w:ascii="Times New Roman" w:hint="eastAsia"/>
          <w:b w:val="0"/>
          <w:color w:val="auto"/>
          <w:sz w:val="30"/>
        </w:rPr>
        <w:t xml:space="preserve"> </w:t>
      </w:r>
      <w:r>
        <w:rPr>
          <w:rFonts w:ascii="Times New Roman" w:hint="eastAsia"/>
          <w:b w:val="0"/>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45FE82B1" w14:textId="77777777" w:rsidR="007C736D" w:rsidRDefault="007C736D">
      <w:pPr>
        <w:spacing w:line="360" w:lineRule="auto"/>
        <w:ind w:firstLine="540"/>
        <w:rPr>
          <w:bCs/>
          <w:sz w:val="24"/>
        </w:rPr>
      </w:pPr>
    </w:p>
    <w:p w14:paraId="6C56D736" w14:textId="77777777" w:rsidR="007C736D" w:rsidRDefault="00662CFB">
      <w:pPr>
        <w:spacing w:line="360" w:lineRule="auto"/>
        <w:ind w:firstLine="480"/>
        <w:rPr>
          <w:bCs/>
          <w:sz w:val="24"/>
        </w:rPr>
      </w:pPr>
      <w:r>
        <w:rPr>
          <w:bCs/>
          <w:sz w:val="24"/>
        </w:rPr>
        <w:t>一、基金备案的条件</w:t>
      </w:r>
    </w:p>
    <w:p w14:paraId="383A84AC" w14:textId="77777777" w:rsidR="007C736D" w:rsidRDefault="00662CFB">
      <w:pPr>
        <w:spacing w:line="360" w:lineRule="auto"/>
        <w:ind w:firstLineChars="200" w:firstLine="480"/>
        <w:rPr>
          <w:bCs/>
          <w:sz w:val="24"/>
        </w:rPr>
      </w:pPr>
      <w:r>
        <w:rPr>
          <w:rFonts w:hint="eastAsia"/>
          <w:bCs/>
          <w:sz w:val="24"/>
        </w:rPr>
        <w:t>本基金自基金份额发售之日起</w:t>
      </w:r>
      <w:r>
        <w:rPr>
          <w:bCs/>
          <w:sz w:val="24"/>
        </w:rPr>
        <w:t>3</w:t>
      </w:r>
      <w:r>
        <w:rPr>
          <w:rFonts w:hint="eastAsia"/>
          <w:bCs/>
          <w:sz w:val="24"/>
        </w:rPr>
        <w:t>个月内，</w:t>
      </w:r>
      <w:r>
        <w:rPr>
          <w:bCs/>
          <w:sz w:val="24"/>
        </w:rPr>
        <w:t>在基金募集份额总额不少于</w:t>
      </w:r>
      <w:r>
        <w:rPr>
          <w:bCs/>
          <w:sz w:val="24"/>
        </w:rPr>
        <w:t>2</w:t>
      </w:r>
      <w:r>
        <w:rPr>
          <w:bCs/>
          <w:sz w:val="24"/>
        </w:rPr>
        <w:t>亿份，基金募集金额不少于</w:t>
      </w:r>
      <w:r>
        <w:rPr>
          <w:bCs/>
          <w:sz w:val="24"/>
        </w:rPr>
        <w:t>2</w:t>
      </w:r>
      <w:r>
        <w:rPr>
          <w:bCs/>
          <w:sz w:val="24"/>
        </w:rPr>
        <w:t>亿元人民币且基金认购人数不少于</w:t>
      </w:r>
      <w:r>
        <w:rPr>
          <w:bCs/>
          <w:sz w:val="24"/>
        </w:rPr>
        <w:t>200</w:t>
      </w:r>
      <w:r>
        <w:rPr>
          <w:bCs/>
          <w:sz w:val="24"/>
        </w:rPr>
        <w:t>人的条件下，</w:t>
      </w:r>
      <w:r>
        <w:rPr>
          <w:rFonts w:hint="eastAsia"/>
          <w:bCs/>
          <w:sz w:val="24"/>
        </w:rPr>
        <w:t>基金募集期届满或基金管理人依据法律法规及招募说明书可以决定停止基金发售，并在</w:t>
      </w:r>
      <w:r>
        <w:rPr>
          <w:bCs/>
          <w:sz w:val="24"/>
        </w:rPr>
        <w:t>10</w:t>
      </w:r>
      <w:r>
        <w:rPr>
          <w:rFonts w:hint="eastAsia"/>
          <w:bCs/>
          <w:sz w:val="24"/>
        </w:rPr>
        <w:t>日内聘请法定验资机构验资，自收到验资报告之日起</w:t>
      </w:r>
      <w:r>
        <w:rPr>
          <w:bCs/>
          <w:sz w:val="24"/>
        </w:rPr>
        <w:t>10</w:t>
      </w:r>
      <w:r>
        <w:rPr>
          <w:rFonts w:hint="eastAsia"/>
          <w:bCs/>
          <w:sz w:val="24"/>
        </w:rPr>
        <w:t>日内，向中国证监会办理基金备案手续。</w:t>
      </w:r>
    </w:p>
    <w:p w14:paraId="077E1FBD" w14:textId="77777777" w:rsidR="007C736D" w:rsidRDefault="00662CFB">
      <w:pPr>
        <w:spacing w:line="360" w:lineRule="auto"/>
        <w:ind w:firstLine="480"/>
        <w:jc w:val="left"/>
        <w:rPr>
          <w:bCs/>
          <w:sz w:val="24"/>
        </w:rPr>
      </w:pPr>
      <w:r>
        <w:rPr>
          <w:bCs/>
          <w:sz w:val="24"/>
        </w:rPr>
        <w:t>基金募集达到基金备案条件的，自基金管理人办理完毕基金备案手续并取得中国证监会书面确认之日起，</w:t>
      </w:r>
      <w:r>
        <w:rPr>
          <w:rFonts w:hint="eastAsia"/>
          <w:bCs/>
          <w:sz w:val="24"/>
        </w:rPr>
        <w:t>《</w:t>
      </w:r>
      <w:r>
        <w:rPr>
          <w:bCs/>
          <w:sz w:val="24"/>
        </w:rPr>
        <w:t>基金合同</w:t>
      </w:r>
      <w:r>
        <w:rPr>
          <w:rFonts w:hint="eastAsia"/>
          <w:bCs/>
          <w:sz w:val="24"/>
        </w:rPr>
        <w:t>》</w:t>
      </w:r>
      <w:r>
        <w:rPr>
          <w:bCs/>
          <w:sz w:val="24"/>
        </w:rPr>
        <w:t>生效；否则</w:t>
      </w:r>
      <w:r>
        <w:rPr>
          <w:rFonts w:hint="eastAsia"/>
          <w:bCs/>
          <w:sz w:val="24"/>
        </w:rPr>
        <w:t>《</w:t>
      </w:r>
      <w:r>
        <w:rPr>
          <w:bCs/>
          <w:sz w:val="24"/>
        </w:rPr>
        <w:t>基金合同</w:t>
      </w:r>
      <w:r>
        <w:rPr>
          <w:rFonts w:hint="eastAsia"/>
          <w:bCs/>
          <w:sz w:val="24"/>
        </w:rPr>
        <w:t>》</w:t>
      </w:r>
      <w:r>
        <w:rPr>
          <w:bCs/>
          <w:sz w:val="24"/>
        </w:rPr>
        <w:t>不生效。基金管理人在收到中国证监会确认文件的次日对</w:t>
      </w:r>
      <w:r>
        <w:rPr>
          <w:rFonts w:hint="eastAsia"/>
          <w:bCs/>
          <w:sz w:val="24"/>
        </w:rPr>
        <w:t>《</w:t>
      </w:r>
      <w:r>
        <w:rPr>
          <w:bCs/>
          <w:sz w:val="24"/>
        </w:rPr>
        <w:t>基金合同</w:t>
      </w:r>
      <w:r>
        <w:rPr>
          <w:rFonts w:hint="eastAsia"/>
          <w:bCs/>
          <w:sz w:val="24"/>
        </w:rPr>
        <w:t>》</w:t>
      </w:r>
      <w:r>
        <w:rPr>
          <w:bCs/>
          <w:sz w:val="24"/>
        </w:rPr>
        <w:t>生效事宜予以公告。基金管理人应将基金募集期间募集的资金存入专门账户，在基金募集行为结束前，任何人不得动用。</w:t>
      </w:r>
    </w:p>
    <w:p w14:paraId="2682A6A4" w14:textId="77777777" w:rsidR="007C736D" w:rsidRDefault="00662CFB">
      <w:pPr>
        <w:spacing w:line="360" w:lineRule="auto"/>
        <w:ind w:firstLine="480"/>
        <w:rPr>
          <w:bCs/>
          <w:sz w:val="24"/>
        </w:rPr>
      </w:pPr>
      <w:r>
        <w:rPr>
          <w:bCs/>
          <w:sz w:val="24"/>
        </w:rPr>
        <w:t>二、基金合同不能生效时募集资金的处理方式</w:t>
      </w:r>
    </w:p>
    <w:p w14:paraId="69FE9AF8" w14:textId="77777777" w:rsidR="007C736D" w:rsidRDefault="00662CFB">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6EFB34FC" w14:textId="77777777" w:rsidR="007C736D" w:rsidRDefault="00662CFB">
      <w:pPr>
        <w:spacing w:line="360" w:lineRule="auto"/>
        <w:ind w:firstLine="480"/>
        <w:rPr>
          <w:bCs/>
          <w:sz w:val="24"/>
        </w:rPr>
      </w:pPr>
      <w:r>
        <w:rPr>
          <w:bCs/>
          <w:sz w:val="24"/>
        </w:rPr>
        <w:t>1</w:t>
      </w:r>
      <w:r>
        <w:rPr>
          <w:bCs/>
          <w:sz w:val="24"/>
        </w:rPr>
        <w:t>、以其固有财产承</w:t>
      </w:r>
      <w:r>
        <w:rPr>
          <w:bCs/>
          <w:sz w:val="24"/>
        </w:rPr>
        <w:t>担因募集行为而产生的债务和费用；</w:t>
      </w:r>
    </w:p>
    <w:p w14:paraId="7378DA11" w14:textId="77777777" w:rsidR="007C736D" w:rsidRDefault="00662CFB">
      <w:pPr>
        <w:spacing w:line="360" w:lineRule="auto"/>
        <w:ind w:firstLine="480"/>
        <w:rPr>
          <w:bCs/>
          <w:sz w:val="24"/>
        </w:rPr>
      </w:pPr>
      <w:r>
        <w:rPr>
          <w:bCs/>
          <w:sz w:val="24"/>
        </w:rPr>
        <w:t>2</w:t>
      </w:r>
      <w:r>
        <w:rPr>
          <w:bCs/>
          <w:sz w:val="24"/>
        </w:rPr>
        <w:t>、在基金募集期限届满后</w:t>
      </w:r>
      <w:r>
        <w:rPr>
          <w:rFonts w:hint="eastAsia"/>
          <w:bCs/>
          <w:sz w:val="24"/>
        </w:rPr>
        <w:t>30</w:t>
      </w:r>
      <w:r>
        <w:rPr>
          <w:bCs/>
          <w:sz w:val="24"/>
        </w:rPr>
        <w:t>日内返还投资者已</w:t>
      </w:r>
      <w:r>
        <w:rPr>
          <w:rFonts w:hint="eastAsia"/>
          <w:bCs/>
          <w:sz w:val="24"/>
        </w:rPr>
        <w:t>交</w:t>
      </w:r>
      <w:r>
        <w:rPr>
          <w:bCs/>
          <w:sz w:val="24"/>
        </w:rPr>
        <w:t>纳的款项，并加计银行同期</w:t>
      </w:r>
      <w:r>
        <w:rPr>
          <w:rFonts w:hint="eastAsia"/>
          <w:bCs/>
          <w:sz w:val="24"/>
        </w:rPr>
        <w:t>活期</w:t>
      </w:r>
      <w:r>
        <w:rPr>
          <w:bCs/>
          <w:sz w:val="24"/>
        </w:rPr>
        <w:t>存款利息</w:t>
      </w:r>
      <w:r>
        <w:rPr>
          <w:rFonts w:hint="eastAsia"/>
          <w:bCs/>
          <w:sz w:val="24"/>
        </w:rPr>
        <w:t>；</w:t>
      </w:r>
    </w:p>
    <w:p w14:paraId="668EE27F" w14:textId="77777777" w:rsidR="007C736D" w:rsidRDefault="00662CFB">
      <w:pPr>
        <w:spacing w:line="360" w:lineRule="auto"/>
        <w:ind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668C5D21" w14:textId="77777777" w:rsidR="007C736D" w:rsidRDefault="00662CFB">
      <w:pPr>
        <w:spacing w:line="360" w:lineRule="auto"/>
        <w:ind w:firstLine="480"/>
        <w:rPr>
          <w:bCs/>
          <w:sz w:val="24"/>
        </w:rPr>
      </w:pPr>
      <w:r>
        <w:rPr>
          <w:bCs/>
          <w:sz w:val="24"/>
        </w:rPr>
        <w:t>三、基金存续期内的基金份额持有人数量和资产规模</w:t>
      </w:r>
    </w:p>
    <w:p w14:paraId="747FA8B0" w14:textId="77777777" w:rsidR="007C736D" w:rsidRDefault="00662CFB">
      <w:pPr>
        <w:spacing w:line="360" w:lineRule="auto"/>
        <w:ind w:firstLineChars="200" w:firstLine="480"/>
        <w:rPr>
          <w:bCs/>
          <w:sz w:val="24"/>
        </w:rPr>
      </w:pPr>
      <w:r>
        <w:rPr>
          <w:rFonts w:hint="eastAsia"/>
          <w:bCs/>
          <w:sz w:val="24"/>
        </w:rPr>
        <w:t>《基金合同》生效后，如连续</w:t>
      </w:r>
      <w:r>
        <w:rPr>
          <w:rFonts w:hint="eastAsia"/>
          <w:bCs/>
          <w:sz w:val="24"/>
        </w:rPr>
        <w:t>20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万元情形，基金管理人应当在定期报告中予以披露；如连续</w:t>
      </w:r>
      <w:r>
        <w:rPr>
          <w:rFonts w:hint="eastAsia"/>
          <w:bCs/>
          <w:sz w:val="24"/>
        </w:rPr>
        <w:t>60</w:t>
      </w:r>
      <w:r>
        <w:rPr>
          <w:rFonts w:hint="eastAsia"/>
          <w:bCs/>
          <w:sz w:val="24"/>
        </w:rPr>
        <w:t>个工作日出现前述情形，基金管理人应当在</w:t>
      </w:r>
      <w:r>
        <w:rPr>
          <w:rFonts w:hint="eastAsia"/>
          <w:bCs/>
          <w:sz w:val="24"/>
        </w:rPr>
        <w:t>10</w:t>
      </w:r>
      <w:r>
        <w:rPr>
          <w:rFonts w:hint="eastAsia"/>
          <w:bCs/>
          <w:sz w:val="24"/>
        </w:rPr>
        <w:t>个工</w:t>
      </w:r>
      <w:r>
        <w:rPr>
          <w:rFonts w:hint="eastAsia"/>
          <w:bCs/>
          <w:sz w:val="24"/>
        </w:rPr>
        <w:t>作日内向中国证监会报告并提出解决方案，如持续运作、转换运作方式、与其他基金合并或者终止基金合同等，并于</w:t>
      </w:r>
      <w:r>
        <w:rPr>
          <w:rFonts w:hint="eastAsia"/>
          <w:bCs/>
          <w:sz w:val="24"/>
        </w:rPr>
        <w:t>6</w:t>
      </w:r>
      <w:r>
        <w:rPr>
          <w:rFonts w:hint="eastAsia"/>
          <w:bCs/>
          <w:sz w:val="24"/>
        </w:rPr>
        <w:t>个月内召集基金份额持有人大会。</w:t>
      </w:r>
    </w:p>
    <w:p w14:paraId="3FD94C48" w14:textId="77777777" w:rsidR="007C736D" w:rsidRDefault="00662CFB">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304EA581" w14:textId="77777777" w:rsidR="007C736D" w:rsidRDefault="00662CFB">
      <w:pPr>
        <w:pStyle w:val="1110"/>
        <w:spacing w:before="0" w:after="0"/>
        <w:jc w:val="center"/>
        <w:rPr>
          <w:rFonts w:ascii="Times New Roman"/>
          <w:b w:val="0"/>
          <w:color w:val="auto"/>
          <w:sz w:val="30"/>
        </w:rPr>
      </w:pPr>
      <w:r>
        <w:rPr>
          <w:rFonts w:ascii="Times New Roman"/>
          <w:b w:val="0"/>
          <w:color w:val="auto"/>
          <w:sz w:val="21"/>
        </w:rPr>
        <w:br w:type="page"/>
      </w:r>
      <w:bookmarkStart w:id="104" w:name="_Toc79392606"/>
      <w:bookmarkStart w:id="105" w:name="_Toc23261"/>
      <w:bookmarkStart w:id="106" w:name="_Toc7920"/>
      <w:bookmarkStart w:id="107" w:name="_Toc123051452"/>
      <w:bookmarkStart w:id="108" w:name="_Toc141703886"/>
      <w:bookmarkStart w:id="109" w:name="_Toc48649707"/>
      <w:bookmarkStart w:id="110" w:name="_Toc20733"/>
      <w:bookmarkStart w:id="111" w:name="_Toc610"/>
      <w:bookmarkStart w:id="112" w:name="_Toc1270"/>
      <w:bookmarkStart w:id="113" w:name="_Toc10463"/>
      <w:bookmarkStart w:id="114" w:name="_Toc98560352"/>
      <w:bookmarkStart w:id="115" w:name="_Toc139991736"/>
      <w:bookmarkStart w:id="116" w:name="_Toc123112234"/>
      <w:bookmarkStart w:id="117" w:name="_Toc23822"/>
      <w:bookmarkStart w:id="118" w:name="_Toc136360675"/>
      <w:bookmarkStart w:id="119" w:name="_Toc1427"/>
      <w:bookmarkStart w:id="120" w:name="_Toc123102453"/>
      <w:bookmarkStart w:id="121" w:name="_Toc4003"/>
      <w:bookmarkStart w:id="122" w:name="_Toc17244"/>
      <w:bookmarkStart w:id="123" w:name="_Toc25072215"/>
      <w:r>
        <w:rPr>
          <w:rFonts w:ascii="Times New Roman" w:hint="eastAsia"/>
          <w:b w:val="0"/>
          <w:color w:val="auto"/>
          <w:sz w:val="30"/>
        </w:rPr>
        <w:lastRenderedPageBreak/>
        <w:t>第六部分</w:t>
      </w:r>
      <w:r>
        <w:rPr>
          <w:rFonts w:ascii="Times New Roman" w:hint="eastAsia"/>
          <w:b w:val="0"/>
          <w:color w:val="auto"/>
          <w:sz w:val="30"/>
        </w:rPr>
        <w:t xml:space="preserve"> </w:t>
      </w:r>
      <w:r>
        <w:rPr>
          <w:rFonts w:ascii="Times New Roman"/>
          <w:b w:val="0"/>
          <w:color w:val="auto"/>
          <w:sz w:val="30"/>
        </w:rPr>
        <w:t xml:space="preserve"> </w:t>
      </w:r>
      <w:r>
        <w:rPr>
          <w:rFonts w:ascii="Times New Roman" w:hint="eastAsia"/>
          <w:b w:val="0"/>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58B8E766" w14:textId="77777777" w:rsidR="007C736D" w:rsidRDefault="007C736D">
      <w:pPr>
        <w:spacing w:line="360" w:lineRule="auto"/>
        <w:ind w:firstLine="540"/>
        <w:rPr>
          <w:bCs/>
          <w:sz w:val="24"/>
        </w:rPr>
      </w:pPr>
    </w:p>
    <w:p w14:paraId="49B61034" w14:textId="77777777" w:rsidR="007C736D" w:rsidRDefault="00662CFB">
      <w:pPr>
        <w:spacing w:line="360" w:lineRule="auto"/>
        <w:ind w:firstLine="480"/>
        <w:rPr>
          <w:bCs/>
          <w:sz w:val="24"/>
        </w:rPr>
      </w:pPr>
      <w:r>
        <w:rPr>
          <w:bCs/>
          <w:sz w:val="24"/>
        </w:rPr>
        <w:t>一、申购和赎回场所</w:t>
      </w:r>
    </w:p>
    <w:p w14:paraId="1E0EA608" w14:textId="77777777" w:rsidR="007C736D" w:rsidRDefault="00662CFB">
      <w:pPr>
        <w:spacing w:line="360" w:lineRule="auto"/>
        <w:ind w:firstLine="480"/>
      </w:pPr>
      <w:r>
        <w:rPr>
          <w:bCs/>
          <w:sz w:val="24"/>
        </w:rPr>
        <w:t>本基金的申购与赎回将通过销售机构进行。具体的销售</w:t>
      </w:r>
      <w:r>
        <w:rPr>
          <w:rFonts w:hint="eastAsia"/>
          <w:bCs/>
          <w:sz w:val="24"/>
        </w:rPr>
        <w:t>机构</w:t>
      </w:r>
      <w:r>
        <w:rPr>
          <w:bCs/>
          <w:sz w:val="24"/>
        </w:rPr>
        <w:t>将由基金管理人在招募说明书或其他相关公告中列明。基金管理人可根据情况变更或增减销售机构，并</w:t>
      </w:r>
      <w:r>
        <w:rPr>
          <w:rFonts w:hint="eastAsia"/>
          <w:bCs/>
          <w:sz w:val="24"/>
        </w:rPr>
        <w:t>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14:paraId="734FFAF2" w14:textId="77777777" w:rsidR="007C736D" w:rsidRDefault="00662CFB">
      <w:pPr>
        <w:spacing w:line="360" w:lineRule="auto"/>
        <w:ind w:firstLine="480"/>
        <w:rPr>
          <w:bCs/>
          <w:sz w:val="24"/>
        </w:rPr>
      </w:pPr>
      <w:r>
        <w:rPr>
          <w:bCs/>
          <w:sz w:val="24"/>
        </w:rPr>
        <w:t>二、申购和赎回的开放日及时间</w:t>
      </w:r>
    </w:p>
    <w:p w14:paraId="44583697" w14:textId="77777777" w:rsidR="007C736D" w:rsidRDefault="00662CFB">
      <w:pPr>
        <w:spacing w:line="360" w:lineRule="auto"/>
        <w:ind w:firstLine="480"/>
        <w:rPr>
          <w:bCs/>
          <w:sz w:val="24"/>
        </w:rPr>
      </w:pPr>
      <w:r>
        <w:rPr>
          <w:bCs/>
          <w:sz w:val="24"/>
        </w:rPr>
        <w:t>1</w:t>
      </w:r>
      <w:r>
        <w:rPr>
          <w:rFonts w:hint="eastAsia"/>
          <w:bCs/>
          <w:sz w:val="24"/>
        </w:rPr>
        <w:t>、</w:t>
      </w:r>
      <w:r>
        <w:rPr>
          <w:bCs/>
          <w:sz w:val="24"/>
        </w:rPr>
        <w:t>开放日及开放时间</w:t>
      </w:r>
    </w:p>
    <w:p w14:paraId="59BA3611" w14:textId="77777777" w:rsidR="007C736D" w:rsidRDefault="00662CFB">
      <w:pPr>
        <w:spacing w:line="360" w:lineRule="auto"/>
        <w:ind w:firstLine="480"/>
        <w:rPr>
          <w:bCs/>
          <w:sz w:val="24"/>
        </w:rPr>
      </w:pPr>
      <w:r>
        <w:rPr>
          <w:rFonts w:hint="eastAsia"/>
          <w:bCs/>
          <w:sz w:val="24"/>
        </w:rPr>
        <w:t>投资人在开放日办理基金份额的申购和赎回，本基金的开放日为上海证券交易所、深圳证券交易所的正常交易日（若该交易日非港股通交易日，则本基金不开放申购和赎回等业务），但基金管理人根据法律法规、中国证监会的要求或本基金合同的规定公告暂停申购、赎回时除外。开放日的具体业务办理时间见招募说明书或相关公告。</w:t>
      </w:r>
    </w:p>
    <w:p w14:paraId="0888B0FE" w14:textId="77777777" w:rsidR="007C736D" w:rsidRDefault="00662CFB">
      <w:pPr>
        <w:spacing w:line="360" w:lineRule="auto"/>
        <w:ind w:firstLine="480"/>
        <w:rPr>
          <w:bCs/>
          <w:sz w:val="24"/>
        </w:rPr>
      </w:pPr>
      <w:r>
        <w:rPr>
          <w:rFonts w:hint="eastAsia"/>
          <w:bCs/>
          <w:sz w:val="24"/>
        </w:rPr>
        <w:t>基金合同生效后，若出现新的证券</w:t>
      </w:r>
      <w:r>
        <w:rPr>
          <w:rFonts w:hint="eastAsia"/>
          <w:bCs/>
          <w:sz w:val="24"/>
        </w:rPr>
        <w:t>/</w:t>
      </w:r>
      <w:r>
        <w:rPr>
          <w:rFonts w:hint="eastAsia"/>
          <w:bCs/>
          <w:sz w:val="24"/>
        </w:rPr>
        <w:t>期货交易市场、证券</w:t>
      </w:r>
      <w:r>
        <w:rPr>
          <w:rFonts w:hint="eastAsia"/>
          <w:bCs/>
          <w:sz w:val="24"/>
        </w:rPr>
        <w:t>/</w:t>
      </w:r>
      <w:r>
        <w:rPr>
          <w:rFonts w:hint="eastAsia"/>
          <w:bCs/>
          <w:sz w:val="24"/>
        </w:rPr>
        <w:t>期货交易所交易时间变更或其他特殊情况或根据业务需要，基金管理人将视情况对前述开放日及开放时间进行相应的调整，但应</w:t>
      </w:r>
      <w:r>
        <w:rPr>
          <w:rFonts w:hint="eastAsia"/>
          <w:bCs/>
          <w:sz w:val="24"/>
        </w:rPr>
        <w:t>在实施日前依照《信息披露办法》的有关规定在规定媒介上公告。</w:t>
      </w:r>
    </w:p>
    <w:p w14:paraId="7BFA5DC5" w14:textId="77777777" w:rsidR="007C736D" w:rsidRDefault="00662CFB">
      <w:pPr>
        <w:spacing w:line="360" w:lineRule="auto"/>
        <w:ind w:firstLine="480"/>
        <w:rPr>
          <w:bCs/>
          <w:sz w:val="24"/>
        </w:rPr>
      </w:pPr>
      <w:r>
        <w:rPr>
          <w:bCs/>
          <w:sz w:val="24"/>
        </w:rPr>
        <w:t>2</w:t>
      </w:r>
      <w:r>
        <w:rPr>
          <w:rFonts w:hint="eastAsia"/>
          <w:bCs/>
          <w:sz w:val="24"/>
        </w:rPr>
        <w:t>、</w:t>
      </w:r>
      <w:r>
        <w:rPr>
          <w:bCs/>
          <w:sz w:val="24"/>
        </w:rPr>
        <w:t>申购、赎回开始日及业务办理时间</w:t>
      </w:r>
    </w:p>
    <w:p w14:paraId="3C4DEDF5" w14:textId="77777777" w:rsidR="007C736D" w:rsidRDefault="00662CFB">
      <w:pPr>
        <w:spacing w:line="360" w:lineRule="auto"/>
        <w:ind w:firstLine="480"/>
        <w:rPr>
          <w:bCs/>
          <w:sz w:val="24"/>
        </w:rPr>
      </w:pPr>
      <w:r>
        <w:rPr>
          <w:bCs/>
          <w:sz w:val="24"/>
        </w:rPr>
        <w:t>基金管理人</w:t>
      </w:r>
      <w:r>
        <w:rPr>
          <w:rFonts w:hint="eastAsia"/>
          <w:bCs/>
          <w:sz w:val="24"/>
        </w:rPr>
        <w:t>可根据实际情况依法决定本基金开始办理申购的具体日期</w:t>
      </w:r>
      <w:r>
        <w:rPr>
          <w:bCs/>
          <w:sz w:val="24"/>
        </w:rPr>
        <w:t>，具体业务办理时间在申购开始公告中规定。</w:t>
      </w:r>
    </w:p>
    <w:p w14:paraId="02182E34" w14:textId="77777777" w:rsidR="007C736D" w:rsidRDefault="00662CFB">
      <w:pPr>
        <w:spacing w:line="360" w:lineRule="auto"/>
        <w:ind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开始办理赎回，具体业务办理时间在赎回开始公告中规定。</w:t>
      </w:r>
    </w:p>
    <w:p w14:paraId="6BD4852C" w14:textId="77777777" w:rsidR="007C736D" w:rsidRDefault="00662CFB">
      <w:pPr>
        <w:spacing w:line="360" w:lineRule="auto"/>
        <w:ind w:firstLine="480"/>
        <w:rPr>
          <w:bCs/>
          <w:sz w:val="24"/>
        </w:rPr>
      </w:pPr>
      <w:r>
        <w:rPr>
          <w:bCs/>
          <w:sz w:val="24"/>
        </w:rPr>
        <w:t>在确定申购开始与赎回开始时间后，基金管理人应</w:t>
      </w:r>
      <w:r>
        <w:rPr>
          <w:rFonts w:hint="eastAsia"/>
          <w:bCs/>
          <w:sz w:val="24"/>
        </w:rPr>
        <w:t>在申购、赎回开放日前</w:t>
      </w:r>
      <w:r>
        <w:rPr>
          <w:bCs/>
          <w:sz w:val="24"/>
        </w:rPr>
        <w:t>依照《信息披露办法》的有关规定</w:t>
      </w:r>
      <w:r>
        <w:rPr>
          <w:rFonts w:hint="eastAsia"/>
          <w:bCs/>
          <w:sz w:val="24"/>
        </w:rPr>
        <w:t>在规定媒介上公告申购与赎回的开始时间</w:t>
      </w:r>
      <w:r>
        <w:rPr>
          <w:bCs/>
          <w:sz w:val="24"/>
        </w:rPr>
        <w:t>。</w:t>
      </w:r>
    </w:p>
    <w:p w14:paraId="575BF8A3" w14:textId="77777777" w:rsidR="007C736D" w:rsidRDefault="00662CFB">
      <w:pPr>
        <w:spacing w:line="360" w:lineRule="auto"/>
        <w:ind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w:t>
      </w:r>
      <w:r>
        <w:rPr>
          <w:rFonts w:hint="eastAsia"/>
          <w:bCs/>
          <w:sz w:val="24"/>
        </w:rPr>
        <w:t>或转换</w:t>
      </w:r>
      <w:r>
        <w:rPr>
          <w:bCs/>
          <w:sz w:val="24"/>
        </w:rPr>
        <w:t>申请</w:t>
      </w:r>
      <w:r>
        <w:rPr>
          <w:rFonts w:hint="eastAsia"/>
          <w:bCs/>
          <w:sz w:val="24"/>
        </w:rPr>
        <w:t>且登记机构确认接受</w:t>
      </w:r>
      <w:r>
        <w:rPr>
          <w:bCs/>
          <w:sz w:val="24"/>
        </w:rPr>
        <w:t>的，其基金份额申购、赎回价格为下一开放日</w:t>
      </w:r>
      <w:r>
        <w:rPr>
          <w:rFonts w:hint="eastAsia"/>
          <w:bCs/>
          <w:sz w:val="24"/>
        </w:rPr>
        <w:t>各类</w:t>
      </w:r>
      <w:r>
        <w:rPr>
          <w:bCs/>
          <w:sz w:val="24"/>
        </w:rPr>
        <w:t>基金份额的基金份额申购、赎回的价格。</w:t>
      </w:r>
    </w:p>
    <w:p w14:paraId="31617708" w14:textId="77777777" w:rsidR="007C736D" w:rsidRDefault="00662CFB">
      <w:pPr>
        <w:spacing w:line="360" w:lineRule="auto"/>
        <w:ind w:firstLine="480"/>
        <w:rPr>
          <w:bCs/>
          <w:sz w:val="24"/>
        </w:rPr>
      </w:pPr>
      <w:r>
        <w:rPr>
          <w:bCs/>
          <w:sz w:val="24"/>
        </w:rPr>
        <w:lastRenderedPageBreak/>
        <w:t>三、申购与赎回的原则</w:t>
      </w:r>
    </w:p>
    <w:p w14:paraId="1D25CBB8" w14:textId="77777777" w:rsidR="007C736D" w:rsidRDefault="00662CFB">
      <w:pPr>
        <w:spacing w:line="360" w:lineRule="auto"/>
        <w:ind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w:t>
      </w:r>
      <w:r>
        <w:rPr>
          <w:rFonts w:hint="eastAsia"/>
          <w:bCs/>
          <w:sz w:val="24"/>
        </w:rPr>
        <w:t>各类</w:t>
      </w:r>
      <w:r>
        <w:rPr>
          <w:bCs/>
          <w:sz w:val="24"/>
        </w:rPr>
        <w:t>基金份额净值为基准进行计算；</w:t>
      </w:r>
    </w:p>
    <w:p w14:paraId="7FC664CC" w14:textId="77777777" w:rsidR="007C736D" w:rsidRDefault="00662CFB">
      <w:pPr>
        <w:spacing w:line="360" w:lineRule="auto"/>
        <w:ind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206714F0" w14:textId="77777777" w:rsidR="007C736D" w:rsidRDefault="00662CFB">
      <w:pPr>
        <w:spacing w:line="360" w:lineRule="auto"/>
        <w:ind w:firstLine="480"/>
        <w:rPr>
          <w:bCs/>
          <w:sz w:val="24"/>
        </w:rPr>
      </w:pPr>
      <w:r>
        <w:rPr>
          <w:bCs/>
          <w:sz w:val="24"/>
        </w:rPr>
        <w:t>3</w:t>
      </w:r>
      <w:r>
        <w:rPr>
          <w:rFonts w:hint="eastAsia"/>
          <w:bCs/>
          <w:sz w:val="24"/>
        </w:rPr>
        <w:t>、</w:t>
      </w:r>
      <w:r>
        <w:rPr>
          <w:bCs/>
          <w:sz w:val="24"/>
        </w:rPr>
        <w:t>当日的申购与赎回申请可以在基金管理人规定的时间以内撤销；</w:t>
      </w:r>
    </w:p>
    <w:p w14:paraId="07F909DD" w14:textId="77777777" w:rsidR="007C736D" w:rsidRDefault="00662CFB">
      <w:pPr>
        <w:spacing w:line="360" w:lineRule="auto"/>
        <w:ind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Pr>
          <w:rFonts w:hint="eastAsia"/>
          <w:bCs/>
          <w:sz w:val="24"/>
        </w:rPr>
        <w:t>；</w:t>
      </w:r>
    </w:p>
    <w:p w14:paraId="750CF78D" w14:textId="77777777" w:rsidR="007C736D" w:rsidRDefault="00662CFB">
      <w:pPr>
        <w:spacing w:line="360" w:lineRule="auto"/>
        <w:ind w:firstLine="480"/>
        <w:rPr>
          <w:bCs/>
          <w:sz w:val="24"/>
        </w:rPr>
      </w:pPr>
      <w:r>
        <w:rPr>
          <w:rFonts w:hint="eastAsia"/>
          <w:bCs/>
          <w:sz w:val="24"/>
        </w:rPr>
        <w:t>5</w:t>
      </w:r>
      <w:r>
        <w:rPr>
          <w:rFonts w:hint="eastAsia"/>
          <w:bCs/>
          <w:sz w:val="24"/>
        </w:rPr>
        <w:t>、办理申购、赎</w:t>
      </w:r>
      <w:r>
        <w:rPr>
          <w:rFonts w:hint="eastAsia"/>
          <w:bCs/>
          <w:sz w:val="24"/>
        </w:rPr>
        <w:t>回业务时，应当遵循基金份额持有人利益优先原则，确保投资者的合法权益不受损害并得到公平对待。</w:t>
      </w:r>
    </w:p>
    <w:p w14:paraId="517EA666" w14:textId="77777777" w:rsidR="007C736D" w:rsidRDefault="00662CFB">
      <w:pPr>
        <w:spacing w:line="360" w:lineRule="auto"/>
        <w:ind w:firstLine="480"/>
        <w:rPr>
          <w:bCs/>
        </w:rPr>
      </w:pPr>
      <w:r>
        <w:rPr>
          <w:bCs/>
          <w:sz w:val="24"/>
        </w:rPr>
        <w:t>基金管理人可在法律法规</w:t>
      </w:r>
      <w:r>
        <w:rPr>
          <w:rFonts w:hint="eastAsia"/>
          <w:bCs/>
          <w:sz w:val="24"/>
        </w:rPr>
        <w:t>允许</w:t>
      </w:r>
      <w:r>
        <w:rPr>
          <w:bCs/>
          <w:sz w:val="24"/>
        </w:rPr>
        <w:t>的情况下，对上述原则进行调整。基金管理人必须</w:t>
      </w:r>
      <w:r>
        <w:rPr>
          <w:rFonts w:hint="eastAsia"/>
          <w:bCs/>
          <w:sz w:val="24"/>
        </w:rPr>
        <w:t>在新规则开始实施前</w:t>
      </w:r>
      <w:r>
        <w:rPr>
          <w:bCs/>
          <w:sz w:val="24"/>
        </w:rPr>
        <w:t>依照《信息披露办法》的有关规定</w:t>
      </w:r>
      <w:r>
        <w:rPr>
          <w:rFonts w:hint="eastAsia"/>
          <w:bCs/>
          <w:sz w:val="24"/>
        </w:rPr>
        <w:t>在规定媒介上</w:t>
      </w:r>
      <w:r>
        <w:rPr>
          <w:bCs/>
          <w:sz w:val="24"/>
        </w:rPr>
        <w:t>公告。</w:t>
      </w:r>
    </w:p>
    <w:p w14:paraId="2B02A6A8" w14:textId="77777777" w:rsidR="007C736D" w:rsidRDefault="00662CFB">
      <w:pPr>
        <w:spacing w:line="360" w:lineRule="auto"/>
        <w:ind w:firstLine="480"/>
        <w:rPr>
          <w:bCs/>
          <w:sz w:val="24"/>
        </w:rPr>
      </w:pPr>
      <w:r>
        <w:rPr>
          <w:bCs/>
          <w:sz w:val="24"/>
        </w:rPr>
        <w:t>四、申购与赎回的程序</w:t>
      </w:r>
    </w:p>
    <w:p w14:paraId="04DB76B2" w14:textId="77777777" w:rsidR="007C736D" w:rsidRDefault="00662CFB">
      <w:pPr>
        <w:spacing w:line="360" w:lineRule="auto"/>
        <w:ind w:firstLine="480"/>
        <w:rPr>
          <w:bCs/>
          <w:sz w:val="24"/>
        </w:rPr>
      </w:pPr>
      <w:r>
        <w:rPr>
          <w:bCs/>
          <w:sz w:val="24"/>
        </w:rPr>
        <w:t>1</w:t>
      </w:r>
      <w:r>
        <w:rPr>
          <w:rFonts w:hint="eastAsia"/>
          <w:bCs/>
          <w:sz w:val="24"/>
        </w:rPr>
        <w:t>、</w:t>
      </w:r>
      <w:r>
        <w:rPr>
          <w:bCs/>
          <w:sz w:val="24"/>
        </w:rPr>
        <w:t>申购和赎回的申请方式</w:t>
      </w:r>
    </w:p>
    <w:p w14:paraId="30E23CE0" w14:textId="77777777" w:rsidR="007C736D" w:rsidRDefault="00662CFB">
      <w:pPr>
        <w:spacing w:line="360" w:lineRule="auto"/>
        <w:ind w:firstLine="480"/>
        <w:rPr>
          <w:bCs/>
          <w:sz w:val="24"/>
        </w:rPr>
      </w:pPr>
      <w:r>
        <w:rPr>
          <w:bCs/>
          <w:sz w:val="24"/>
        </w:rPr>
        <w:t>投资人必须根据销售机构规定的程序，在开放日的具体业务办理时间内提出申购或赎回的申请。</w:t>
      </w:r>
    </w:p>
    <w:p w14:paraId="33D1D038" w14:textId="77777777" w:rsidR="007C736D" w:rsidRDefault="00662CFB">
      <w:pPr>
        <w:spacing w:line="360" w:lineRule="auto"/>
        <w:ind w:firstLine="480"/>
        <w:rPr>
          <w:bCs/>
          <w:sz w:val="24"/>
        </w:rPr>
      </w:pPr>
      <w:r>
        <w:rPr>
          <w:bCs/>
          <w:sz w:val="24"/>
        </w:rPr>
        <w:t>2</w:t>
      </w:r>
      <w:r>
        <w:rPr>
          <w:rFonts w:hint="eastAsia"/>
          <w:bCs/>
          <w:sz w:val="24"/>
        </w:rPr>
        <w:t>、</w:t>
      </w:r>
      <w:r>
        <w:rPr>
          <w:bCs/>
          <w:sz w:val="24"/>
        </w:rPr>
        <w:t>申购和赎回的款项支付</w:t>
      </w:r>
    </w:p>
    <w:p w14:paraId="34BE5222" w14:textId="77777777" w:rsidR="007C736D" w:rsidRDefault="00662CFB">
      <w:pPr>
        <w:spacing w:line="360" w:lineRule="auto"/>
        <w:ind w:firstLine="480"/>
        <w:rPr>
          <w:bCs/>
          <w:sz w:val="24"/>
        </w:rPr>
      </w:pPr>
      <w:r>
        <w:rPr>
          <w:bCs/>
          <w:sz w:val="24"/>
          <w:lang w:val="zh-CN"/>
        </w:rPr>
        <w:t>投资人申购基金份额时，必须</w:t>
      </w:r>
      <w:r>
        <w:rPr>
          <w:rFonts w:hint="eastAsia"/>
          <w:bCs/>
          <w:sz w:val="24"/>
          <w:lang w:val="zh-CN"/>
        </w:rPr>
        <w:t>在规定时间前</w:t>
      </w:r>
      <w:r>
        <w:rPr>
          <w:bCs/>
          <w:sz w:val="24"/>
          <w:lang w:val="zh-CN"/>
        </w:rPr>
        <w:t>全额交付申购款项，</w:t>
      </w:r>
      <w:r>
        <w:rPr>
          <w:rFonts w:hint="eastAsia"/>
          <w:bCs/>
          <w:sz w:val="24"/>
        </w:rPr>
        <w:t>否则所提交的申购申请不成立。</w:t>
      </w:r>
      <w:r>
        <w:rPr>
          <w:bCs/>
          <w:sz w:val="24"/>
          <w:lang w:val="zh-CN"/>
        </w:rPr>
        <w:t>投资人</w:t>
      </w:r>
      <w:r>
        <w:rPr>
          <w:rFonts w:hint="eastAsia"/>
          <w:bCs/>
          <w:sz w:val="24"/>
          <w:lang w:val="zh-CN"/>
        </w:rPr>
        <w:t>在规定时间前全额</w:t>
      </w:r>
      <w:r>
        <w:rPr>
          <w:bCs/>
          <w:sz w:val="24"/>
          <w:lang w:val="zh-CN"/>
        </w:rPr>
        <w:t>交付</w:t>
      </w:r>
      <w:r>
        <w:rPr>
          <w:rFonts w:hint="eastAsia"/>
          <w:bCs/>
          <w:sz w:val="24"/>
          <w:lang w:val="zh-CN"/>
        </w:rPr>
        <w:t>申购</w:t>
      </w:r>
      <w:r>
        <w:rPr>
          <w:bCs/>
          <w:sz w:val="24"/>
          <w:lang w:val="zh-CN"/>
        </w:rPr>
        <w:t>款项，申购申请</w:t>
      </w:r>
      <w:r>
        <w:rPr>
          <w:rFonts w:hint="eastAsia"/>
          <w:bCs/>
          <w:sz w:val="24"/>
          <w:lang w:val="zh-CN"/>
        </w:rPr>
        <w:t>成立；基金份额登记机构确认基金份额时，</w:t>
      </w:r>
      <w:r>
        <w:rPr>
          <w:bCs/>
          <w:sz w:val="24"/>
          <w:lang w:val="zh-CN"/>
        </w:rPr>
        <w:t>申购</w:t>
      </w:r>
      <w:r>
        <w:rPr>
          <w:rFonts w:hint="eastAsia"/>
          <w:bCs/>
          <w:sz w:val="24"/>
          <w:lang w:val="zh-CN"/>
        </w:rPr>
        <w:t>生</w:t>
      </w:r>
      <w:r>
        <w:rPr>
          <w:bCs/>
          <w:sz w:val="24"/>
          <w:lang w:val="zh-CN"/>
        </w:rPr>
        <w:t>效。</w:t>
      </w:r>
    </w:p>
    <w:p w14:paraId="0C4DEF11" w14:textId="77777777" w:rsidR="007C736D" w:rsidRDefault="00662CFB">
      <w:pPr>
        <w:spacing w:line="360" w:lineRule="auto"/>
        <w:ind w:firstLine="480"/>
        <w:rPr>
          <w:bCs/>
          <w:sz w:val="24"/>
        </w:rPr>
      </w:pPr>
      <w:r>
        <w:rPr>
          <w:rFonts w:hint="eastAsia"/>
          <w:bCs/>
          <w:sz w:val="24"/>
        </w:rPr>
        <w:t>基金份额持有人</w:t>
      </w:r>
      <w:r>
        <w:rPr>
          <w:rFonts w:ascii="宋体" w:cs="宋体" w:hint="eastAsia"/>
          <w:sz w:val="24"/>
          <w:szCs w:val="24"/>
        </w:rPr>
        <w:t>在提交赎回申请时，必须有足够的基金份额余额</w:t>
      </w:r>
      <w:r>
        <w:rPr>
          <w:rFonts w:hint="eastAsia"/>
          <w:bCs/>
          <w:sz w:val="24"/>
        </w:rPr>
        <w:t>，否则所提交的赎回申请不成立</w:t>
      </w:r>
      <w:r>
        <w:rPr>
          <w:rFonts w:ascii="宋体" w:cs="宋体" w:hint="eastAsia"/>
          <w:sz w:val="24"/>
          <w:szCs w:val="24"/>
        </w:rPr>
        <w:t>。</w:t>
      </w:r>
      <w:r>
        <w:rPr>
          <w:rFonts w:hint="eastAsia"/>
          <w:bCs/>
          <w:sz w:val="24"/>
        </w:rPr>
        <w:t>基金份额持有人在规定的时间内递交赎回申请，赎回成立；基金份额登记机构确认赎回时，赎回生效。基金份额持有人</w:t>
      </w:r>
      <w:r>
        <w:rPr>
          <w:bCs/>
          <w:sz w:val="24"/>
        </w:rPr>
        <w:t>赎回申请</w:t>
      </w:r>
      <w:r>
        <w:rPr>
          <w:rFonts w:hint="eastAsia"/>
          <w:bCs/>
          <w:sz w:val="24"/>
        </w:rPr>
        <w:t>生效</w:t>
      </w:r>
      <w:r>
        <w:rPr>
          <w:bCs/>
          <w:sz w:val="24"/>
        </w:rPr>
        <w:t>后，基金管理人将在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内支付赎回款项。在发生巨额赎回</w:t>
      </w:r>
      <w:r>
        <w:rPr>
          <w:rFonts w:hint="eastAsia"/>
          <w:bCs/>
          <w:sz w:val="24"/>
        </w:rPr>
        <w:t>或本基金合同约定的其他暂停赎回或延缓支付赎回款项的情形</w:t>
      </w:r>
      <w:r>
        <w:rPr>
          <w:bCs/>
          <w:sz w:val="24"/>
        </w:rPr>
        <w:t>时，款项的支付办法参照本基金合同有关条款处理。</w:t>
      </w:r>
    </w:p>
    <w:p w14:paraId="77AA4F0B" w14:textId="77777777" w:rsidR="007C736D" w:rsidRDefault="00662CFB">
      <w:pPr>
        <w:spacing w:line="360" w:lineRule="auto"/>
        <w:ind w:firstLine="480"/>
        <w:rPr>
          <w:bCs/>
          <w:sz w:val="24"/>
        </w:rPr>
      </w:pPr>
      <w:r>
        <w:rPr>
          <w:rFonts w:hint="eastAsia"/>
          <w:bCs/>
          <w:sz w:val="24"/>
        </w:rPr>
        <w:t>如遇证券、</w:t>
      </w:r>
      <w:r>
        <w:rPr>
          <w:bCs/>
          <w:sz w:val="24"/>
        </w:rPr>
        <w:t>期货</w:t>
      </w:r>
      <w:r>
        <w:rPr>
          <w:rFonts w:hint="eastAsia"/>
          <w:bCs/>
          <w:sz w:val="24"/>
        </w:rPr>
        <w:t>交易所或交易市场数据传输延迟、通讯系统故障、数据交换系统故障、</w:t>
      </w:r>
      <w:r>
        <w:rPr>
          <w:rFonts w:hint="eastAsia"/>
          <w:bCs/>
          <w:sz w:val="24"/>
        </w:rPr>
        <w:t>港股通交易系统或港股通资金交收规则限制或其他非基金管理人及基金托管人所能控制的因素影响业务处理流程，则赎回款项划付时间相应顺</w:t>
      </w:r>
      <w:r>
        <w:rPr>
          <w:rFonts w:hint="eastAsia"/>
          <w:bCs/>
          <w:sz w:val="24"/>
        </w:rPr>
        <w:lastRenderedPageBreak/>
        <w:t>延，顺延至该因素消除的最近一个工作日。</w:t>
      </w:r>
    </w:p>
    <w:p w14:paraId="4A2CCFCA" w14:textId="77777777" w:rsidR="007C736D" w:rsidRDefault="00662CFB">
      <w:pPr>
        <w:spacing w:line="360" w:lineRule="auto"/>
        <w:ind w:firstLine="480"/>
        <w:rPr>
          <w:bCs/>
          <w:sz w:val="24"/>
        </w:rPr>
      </w:pPr>
      <w:r>
        <w:rPr>
          <w:bCs/>
          <w:sz w:val="24"/>
        </w:rPr>
        <w:t>3</w:t>
      </w:r>
      <w:r>
        <w:rPr>
          <w:rFonts w:hint="eastAsia"/>
          <w:bCs/>
          <w:sz w:val="24"/>
        </w:rPr>
        <w:t>、</w:t>
      </w:r>
      <w:r>
        <w:rPr>
          <w:bCs/>
          <w:sz w:val="24"/>
        </w:rPr>
        <w:t>申购和赎回申请的确认</w:t>
      </w:r>
    </w:p>
    <w:p w14:paraId="69D288E2" w14:textId="77777777" w:rsidR="007C736D" w:rsidRDefault="00662CFB">
      <w:pPr>
        <w:spacing w:line="360" w:lineRule="auto"/>
        <w:ind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bCs/>
          <w:sz w:val="24"/>
        </w:rPr>
        <w:t>到销售网点柜台或以销售机构规定的其他方式查询申请的确认情况。若申购不成功</w:t>
      </w:r>
      <w:r>
        <w:rPr>
          <w:rFonts w:hint="eastAsia"/>
          <w:bCs/>
          <w:sz w:val="24"/>
        </w:rPr>
        <w:t>或</w:t>
      </w:r>
      <w:r>
        <w:rPr>
          <w:bCs/>
          <w:sz w:val="24"/>
        </w:rPr>
        <w:t>无效，则申购款项</w:t>
      </w:r>
      <w:r>
        <w:rPr>
          <w:rFonts w:hint="eastAsia"/>
          <w:bCs/>
          <w:sz w:val="24"/>
        </w:rPr>
        <w:t>本金</w:t>
      </w:r>
      <w:r>
        <w:rPr>
          <w:bCs/>
          <w:sz w:val="24"/>
        </w:rPr>
        <w:t>退还给投资人。</w:t>
      </w:r>
    </w:p>
    <w:p w14:paraId="16F5E488" w14:textId="77777777" w:rsidR="007C736D" w:rsidRDefault="00662CFB">
      <w:pPr>
        <w:spacing w:line="360" w:lineRule="auto"/>
        <w:ind w:firstLine="480"/>
        <w:rPr>
          <w:bCs/>
          <w:sz w:val="24"/>
        </w:rPr>
      </w:pPr>
      <w:r>
        <w:rPr>
          <w:rFonts w:hint="eastAsia"/>
          <w:bCs/>
          <w:sz w:val="24"/>
        </w:rPr>
        <w:t>基金销售</w:t>
      </w:r>
      <w:r>
        <w:rPr>
          <w:rFonts w:hint="eastAsia"/>
          <w:bCs/>
          <w:sz w:val="24"/>
        </w:rPr>
        <w:t>机构对申购、赎回申请的受理并不代表申请一定成功，而仅代表销售机构确实接收到申请。申购、赎回申请的确认以基金份额登记机构的确认结果为准。对于申请的确认情况，投资人应及时查询并妥善行使合法权利，否则，由此产生的任何损失由投资人自行承担。</w:t>
      </w:r>
    </w:p>
    <w:p w14:paraId="0BF57649" w14:textId="77777777" w:rsidR="007C736D" w:rsidRDefault="00662CFB">
      <w:pPr>
        <w:spacing w:line="360" w:lineRule="auto"/>
        <w:ind w:firstLine="480"/>
        <w:rPr>
          <w:sz w:val="24"/>
          <w:lang w:val="zh-CN"/>
        </w:rPr>
      </w:pPr>
      <w:r>
        <w:rPr>
          <w:rFonts w:hint="eastAsia"/>
          <w:bCs/>
          <w:sz w:val="24"/>
          <w:lang w:val="zh-CN"/>
        </w:rPr>
        <w:t>基金管理人可以在不违反法律法规规定和基金合同约定的情形下，对上述业务办理规则进行调整，并按照《信息披露办法》的有关规定在规定媒介上公告。</w:t>
      </w:r>
    </w:p>
    <w:p w14:paraId="60DB46A3" w14:textId="77777777" w:rsidR="007C736D" w:rsidRDefault="00662CFB">
      <w:pPr>
        <w:spacing w:line="360" w:lineRule="auto"/>
        <w:ind w:firstLine="480"/>
        <w:rPr>
          <w:bCs/>
          <w:sz w:val="24"/>
        </w:rPr>
      </w:pPr>
      <w:r>
        <w:rPr>
          <w:bCs/>
          <w:sz w:val="24"/>
        </w:rPr>
        <w:t>五、申购和赎回的数量限制</w:t>
      </w:r>
    </w:p>
    <w:p w14:paraId="585FE67E" w14:textId="77777777" w:rsidR="007C736D" w:rsidRDefault="00662CFB">
      <w:pPr>
        <w:spacing w:line="360" w:lineRule="auto"/>
        <w:ind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w:t>
      </w:r>
      <w:r>
        <w:rPr>
          <w:rFonts w:hint="eastAsia"/>
          <w:bCs/>
          <w:sz w:val="24"/>
        </w:rPr>
        <w:t>也可以对基金的总规模进行限制，</w:t>
      </w:r>
      <w:r>
        <w:rPr>
          <w:bCs/>
          <w:sz w:val="24"/>
        </w:rPr>
        <w:t>具体</w:t>
      </w:r>
      <w:r>
        <w:rPr>
          <w:bCs/>
          <w:sz w:val="24"/>
        </w:rPr>
        <w:t>规定请参见招募说明书</w:t>
      </w:r>
      <w:r>
        <w:rPr>
          <w:rFonts w:hint="eastAsia"/>
          <w:bCs/>
          <w:sz w:val="24"/>
        </w:rPr>
        <w:t>或相关公告</w:t>
      </w:r>
      <w:r>
        <w:rPr>
          <w:bCs/>
          <w:sz w:val="24"/>
        </w:rPr>
        <w:t>。</w:t>
      </w:r>
    </w:p>
    <w:p w14:paraId="1D88DFB6" w14:textId="77777777" w:rsidR="007C736D" w:rsidRDefault="00662CFB">
      <w:pPr>
        <w:spacing w:line="360" w:lineRule="auto"/>
        <w:ind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4C6AAF68" w14:textId="77777777" w:rsidR="007C736D" w:rsidRDefault="00662CFB">
      <w:pPr>
        <w:spacing w:line="360" w:lineRule="auto"/>
        <w:ind w:firstLine="480"/>
        <w:rPr>
          <w:bCs/>
          <w:sz w:val="24"/>
        </w:rPr>
      </w:pPr>
      <w:r>
        <w:rPr>
          <w:bCs/>
          <w:sz w:val="24"/>
        </w:rPr>
        <w:t>3</w:t>
      </w:r>
      <w:r>
        <w:rPr>
          <w:rFonts w:hint="eastAsia"/>
          <w:bCs/>
          <w:sz w:val="24"/>
        </w:rPr>
        <w:t>、</w:t>
      </w:r>
      <w:r>
        <w:rPr>
          <w:bCs/>
          <w:sz w:val="24"/>
        </w:rPr>
        <w:t>基金管理人可以规定单个投资人累计持有的基金份额上限</w:t>
      </w:r>
      <w:r>
        <w:rPr>
          <w:rFonts w:hint="eastAsia"/>
          <w:bCs/>
          <w:sz w:val="24"/>
        </w:rPr>
        <w:t>、单日或单笔申购金额上限</w:t>
      </w:r>
      <w:r>
        <w:rPr>
          <w:bCs/>
          <w:sz w:val="24"/>
        </w:rPr>
        <w:t>，具体规定请参见招募说明书</w:t>
      </w:r>
      <w:r>
        <w:rPr>
          <w:rFonts w:hint="eastAsia"/>
          <w:bCs/>
          <w:sz w:val="24"/>
        </w:rPr>
        <w:t>或相关公告</w:t>
      </w:r>
      <w:r>
        <w:rPr>
          <w:bCs/>
          <w:sz w:val="24"/>
        </w:rPr>
        <w:t>。</w:t>
      </w:r>
    </w:p>
    <w:p w14:paraId="586FAF82" w14:textId="77777777" w:rsidR="007C736D" w:rsidRDefault="00662CFB">
      <w:pPr>
        <w:spacing w:line="360" w:lineRule="auto"/>
        <w:ind w:firstLine="480"/>
        <w:rPr>
          <w:bCs/>
          <w:sz w:val="24"/>
        </w:rPr>
      </w:pPr>
      <w:r>
        <w:rPr>
          <w:rFonts w:hint="eastAsia"/>
          <w:bCs/>
          <w:sz w:val="24"/>
        </w:rPr>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w:t>
      </w:r>
      <w:r>
        <w:rPr>
          <w:rFonts w:hint="eastAsia"/>
          <w:bCs/>
          <w:sz w:val="24"/>
        </w:rPr>
        <w:t>措施对基金规模予以控制。具体见基金管理人相关公告。</w:t>
      </w:r>
    </w:p>
    <w:p w14:paraId="2F1A7844" w14:textId="77777777" w:rsidR="007C736D" w:rsidRDefault="00662CFB">
      <w:pPr>
        <w:spacing w:line="360" w:lineRule="auto"/>
        <w:ind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基金管理人可在法律法规允许的情况下，调整上述规定申购金额和赎回份额的数量限制。基金管理人必须依照《信息披露办法》的有关规定</w:t>
      </w:r>
      <w:r>
        <w:rPr>
          <w:rFonts w:hint="eastAsia"/>
          <w:bCs/>
          <w:sz w:val="24"/>
        </w:rPr>
        <w:t>在</w:t>
      </w:r>
      <w:r>
        <w:rPr>
          <w:rFonts w:hint="eastAsia"/>
          <w:sz w:val="24"/>
          <w:lang w:val="zh-CN"/>
        </w:rPr>
        <w:t>规定媒</w:t>
      </w:r>
      <w:r>
        <w:rPr>
          <w:rFonts w:hint="eastAsia"/>
          <w:sz w:val="24"/>
          <w:lang w:val="zh-CN"/>
        </w:rPr>
        <w:lastRenderedPageBreak/>
        <w:t>介</w:t>
      </w:r>
      <w:r>
        <w:rPr>
          <w:rFonts w:hint="eastAsia"/>
          <w:bCs/>
          <w:sz w:val="24"/>
        </w:rPr>
        <w:t>上</w:t>
      </w:r>
      <w:r>
        <w:rPr>
          <w:bCs/>
          <w:sz w:val="24"/>
        </w:rPr>
        <w:t>公告。</w:t>
      </w:r>
    </w:p>
    <w:p w14:paraId="2AFC1135" w14:textId="77777777" w:rsidR="007C736D" w:rsidRDefault="00662CFB">
      <w:pPr>
        <w:spacing w:line="360" w:lineRule="auto"/>
        <w:ind w:firstLine="480"/>
        <w:rPr>
          <w:bCs/>
          <w:sz w:val="24"/>
        </w:rPr>
      </w:pPr>
      <w:r>
        <w:rPr>
          <w:bCs/>
          <w:sz w:val="24"/>
        </w:rPr>
        <w:t>六、申购和赎回的价格、费用及其用途</w:t>
      </w:r>
    </w:p>
    <w:p w14:paraId="6F49AB26" w14:textId="77777777" w:rsidR="007C736D" w:rsidRDefault="00662CFB">
      <w:pPr>
        <w:spacing w:line="360" w:lineRule="auto"/>
        <w:ind w:firstLineChars="200" w:firstLine="480"/>
        <w:rPr>
          <w:bCs/>
          <w:sz w:val="24"/>
        </w:rPr>
      </w:pPr>
      <w:r>
        <w:rPr>
          <w:bCs/>
          <w:sz w:val="24"/>
        </w:rPr>
        <w:t>1</w:t>
      </w:r>
      <w:r>
        <w:rPr>
          <w:rFonts w:hint="eastAsia"/>
          <w:bCs/>
          <w:sz w:val="24"/>
        </w:rPr>
        <w:t>、</w:t>
      </w:r>
      <w:r>
        <w:rPr>
          <w:bCs/>
          <w:sz w:val="24"/>
        </w:rPr>
        <w:t>本基金</w:t>
      </w:r>
      <w:r>
        <w:rPr>
          <w:rFonts w:hint="eastAsia"/>
          <w:bCs/>
          <w:sz w:val="24"/>
        </w:rPr>
        <w:t>各类基金</w:t>
      </w:r>
      <w:r>
        <w:rPr>
          <w:bCs/>
          <w:sz w:val="24"/>
        </w:rPr>
        <w:t>份额净值的计算，均保留到小数点后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w:t>
      </w:r>
      <w:r>
        <w:rPr>
          <w:rFonts w:hint="eastAsia"/>
          <w:bCs/>
          <w:sz w:val="24"/>
        </w:rPr>
        <w:t>各类基金</w:t>
      </w:r>
      <w:r>
        <w:rPr>
          <w:bCs/>
          <w:sz w:val="24"/>
        </w:rPr>
        <w:t>份额的基金份额净值在当天收市后计算，</w:t>
      </w:r>
      <w:r>
        <w:rPr>
          <w:rFonts w:hint="eastAsia"/>
          <w:bCs/>
          <w:sz w:val="24"/>
        </w:rPr>
        <w:t>并在</w:t>
      </w:r>
      <w:r>
        <w:rPr>
          <w:bCs/>
          <w:sz w:val="24"/>
        </w:rPr>
        <w:t>T+1</w:t>
      </w:r>
      <w:r>
        <w:rPr>
          <w:rFonts w:hint="eastAsia"/>
          <w:bCs/>
          <w:sz w:val="24"/>
        </w:rPr>
        <w:t>日内公告</w:t>
      </w:r>
      <w:r>
        <w:rPr>
          <w:bCs/>
          <w:sz w:val="24"/>
        </w:rPr>
        <w:t>。遇特殊情况，</w:t>
      </w:r>
      <w:r>
        <w:rPr>
          <w:rFonts w:hint="eastAsia"/>
          <w:bCs/>
          <w:sz w:val="24"/>
        </w:rPr>
        <w:t>经履行适当程序</w:t>
      </w:r>
      <w:r>
        <w:rPr>
          <w:bCs/>
          <w:sz w:val="24"/>
        </w:rPr>
        <w:t>，可以适当延迟计算或</w:t>
      </w:r>
      <w:r>
        <w:rPr>
          <w:rFonts w:hint="eastAsia"/>
          <w:bCs/>
          <w:sz w:val="24"/>
        </w:rPr>
        <w:t>披露</w:t>
      </w:r>
      <w:r>
        <w:rPr>
          <w:bCs/>
          <w:sz w:val="24"/>
        </w:rPr>
        <w:t>。</w:t>
      </w:r>
    </w:p>
    <w:p w14:paraId="6BBEE372" w14:textId="77777777" w:rsidR="007C736D" w:rsidRDefault="00662CFB">
      <w:pPr>
        <w:spacing w:line="360" w:lineRule="auto"/>
        <w:ind w:firstLine="480"/>
        <w:rPr>
          <w:bCs/>
          <w:sz w:val="24"/>
        </w:rPr>
      </w:pPr>
      <w:r>
        <w:rPr>
          <w:bCs/>
          <w:sz w:val="24"/>
        </w:rPr>
        <w:t>2</w:t>
      </w:r>
      <w:r>
        <w:rPr>
          <w:rFonts w:hint="eastAsia"/>
          <w:bCs/>
          <w:sz w:val="24"/>
        </w:rPr>
        <w:t>、</w:t>
      </w:r>
      <w:r>
        <w:rPr>
          <w:bCs/>
          <w:sz w:val="24"/>
        </w:rPr>
        <w:t>申购份额的计算及余额的处理方式：本基金申购份额的计算详见《招募说明书》。</w:t>
      </w:r>
      <w:r>
        <w:rPr>
          <w:rFonts w:hint="eastAsia"/>
          <w:bCs/>
          <w:sz w:val="24"/>
        </w:rPr>
        <w:t>本基金</w:t>
      </w:r>
      <w:r>
        <w:rPr>
          <w:rFonts w:hint="eastAsia"/>
          <w:bCs/>
          <w:sz w:val="24"/>
        </w:rPr>
        <w:t>A</w:t>
      </w:r>
      <w:r>
        <w:rPr>
          <w:rFonts w:hint="eastAsia"/>
          <w:bCs/>
          <w:sz w:val="24"/>
        </w:rPr>
        <w:t>类基金份额的申购费率由基金管理人决定，并在招募说明书及基金产品资料概要中列示，</w:t>
      </w:r>
      <w:r>
        <w:rPr>
          <w:rFonts w:hint="eastAsia"/>
          <w:bCs/>
          <w:sz w:val="24"/>
        </w:rPr>
        <w:t>C</w:t>
      </w:r>
      <w:r>
        <w:rPr>
          <w:rFonts w:hint="eastAsia"/>
          <w:bCs/>
          <w:sz w:val="24"/>
        </w:rPr>
        <w:t>类基金份额不收取申购费用。</w:t>
      </w:r>
      <w:r>
        <w:rPr>
          <w:bCs/>
          <w:sz w:val="24"/>
        </w:rPr>
        <w:t>申购的有效份额为净申购金额除以当日的</w:t>
      </w:r>
      <w:r>
        <w:rPr>
          <w:rFonts w:hint="eastAsia"/>
          <w:bCs/>
          <w:sz w:val="24"/>
        </w:rPr>
        <w:t>该类</w:t>
      </w:r>
      <w:r>
        <w:rPr>
          <w:bCs/>
          <w:sz w:val="24"/>
        </w:rPr>
        <w:t>基金份额净值，有效份额单位为份，上述计算结果均按四舍五入方法，保留到小数点后</w:t>
      </w:r>
      <w:r>
        <w:rPr>
          <w:rFonts w:hint="eastAsia"/>
          <w:bCs/>
          <w:sz w:val="24"/>
        </w:rPr>
        <w:t>2</w:t>
      </w:r>
      <w:r>
        <w:rPr>
          <w:bCs/>
          <w:sz w:val="24"/>
        </w:rPr>
        <w:t>位，由此产生的收益或损失由基金财产承担。</w:t>
      </w:r>
    </w:p>
    <w:p w14:paraId="44769C88" w14:textId="77777777" w:rsidR="007C736D" w:rsidRDefault="00662CFB">
      <w:pPr>
        <w:spacing w:line="360" w:lineRule="auto"/>
        <w:ind w:firstLine="480"/>
        <w:rPr>
          <w:bCs/>
          <w:sz w:val="24"/>
        </w:rPr>
      </w:pPr>
      <w:r>
        <w:rPr>
          <w:rFonts w:hint="eastAsia"/>
          <w:bCs/>
          <w:sz w:val="24"/>
        </w:rPr>
        <w:t>3</w:t>
      </w:r>
      <w:r>
        <w:rPr>
          <w:rFonts w:hint="eastAsia"/>
          <w:bCs/>
          <w:sz w:val="24"/>
        </w:rPr>
        <w:t>、赎回金额的计算及处理方式：本基金赎回金额的计算详见《招募说明书》。本基金的赎回费率由基金管理人决定，并在招募说明书及基金产品资料概要中列示。赎回金额为按实际确认的</w:t>
      </w:r>
      <w:r>
        <w:rPr>
          <w:rFonts w:hint="eastAsia"/>
          <w:bCs/>
          <w:sz w:val="24"/>
        </w:rPr>
        <w:t>有效赎回份额乘以当日该类基金份额净值并扣除相应的费用，赎回金额单位为元。上述计算结果均按四舍五入方法，保留到小数点后</w:t>
      </w:r>
      <w:r>
        <w:rPr>
          <w:rFonts w:hint="eastAsia"/>
          <w:bCs/>
          <w:sz w:val="24"/>
        </w:rPr>
        <w:t>2</w:t>
      </w:r>
      <w:r>
        <w:rPr>
          <w:rFonts w:hint="eastAsia"/>
          <w:bCs/>
          <w:sz w:val="24"/>
        </w:rPr>
        <w:t>位，由此产生的收益或损失由基金财产承担。</w:t>
      </w:r>
    </w:p>
    <w:p w14:paraId="1A82EB56" w14:textId="77777777" w:rsidR="007C736D" w:rsidRDefault="00662CFB">
      <w:pPr>
        <w:spacing w:line="360" w:lineRule="auto"/>
        <w:ind w:firstLine="480"/>
        <w:rPr>
          <w:bCs/>
          <w:sz w:val="24"/>
        </w:rPr>
      </w:pPr>
      <w:r>
        <w:rPr>
          <w:rFonts w:hint="eastAsia"/>
          <w:bCs/>
          <w:sz w:val="24"/>
        </w:rPr>
        <w:t>4</w:t>
      </w:r>
      <w:r>
        <w:rPr>
          <w:rFonts w:hint="eastAsia"/>
          <w:bCs/>
          <w:sz w:val="24"/>
        </w:rPr>
        <w:t>、</w:t>
      </w:r>
      <w:r>
        <w:rPr>
          <w:rFonts w:hint="eastAsia"/>
          <w:bCs/>
          <w:sz w:val="24"/>
        </w:rPr>
        <w:t>A</w:t>
      </w:r>
      <w:r>
        <w:rPr>
          <w:rFonts w:hint="eastAsia"/>
          <w:bCs/>
          <w:sz w:val="24"/>
        </w:rPr>
        <w:t>类基金份额申购费用由申购</w:t>
      </w:r>
      <w:r>
        <w:rPr>
          <w:rFonts w:hint="eastAsia"/>
          <w:bCs/>
          <w:sz w:val="24"/>
        </w:rPr>
        <w:t>A</w:t>
      </w:r>
      <w:r>
        <w:rPr>
          <w:rFonts w:hint="eastAsia"/>
          <w:bCs/>
          <w:sz w:val="24"/>
        </w:rPr>
        <w:t>类基金份额的投资人承担，不列入基金财产。</w:t>
      </w:r>
      <w:r>
        <w:rPr>
          <w:rFonts w:hint="eastAsia"/>
          <w:bCs/>
          <w:sz w:val="24"/>
        </w:rPr>
        <w:t>C</w:t>
      </w:r>
      <w:r>
        <w:rPr>
          <w:rFonts w:hint="eastAsia"/>
          <w:bCs/>
          <w:sz w:val="24"/>
        </w:rPr>
        <w:t>类基金份额不收取申购费用。</w:t>
      </w:r>
    </w:p>
    <w:p w14:paraId="63B5C0C1" w14:textId="77777777" w:rsidR="007C736D" w:rsidRDefault="00662CFB">
      <w:pPr>
        <w:spacing w:line="360" w:lineRule="auto"/>
        <w:ind w:firstLine="480"/>
        <w:rPr>
          <w:bCs/>
          <w:sz w:val="24"/>
        </w:rPr>
      </w:pPr>
      <w:r>
        <w:rPr>
          <w:rFonts w:hint="eastAsia"/>
          <w:bCs/>
          <w:sz w:val="24"/>
        </w:rPr>
        <w:t>5</w:t>
      </w:r>
      <w:r>
        <w:rPr>
          <w:rFonts w:hint="eastAsia"/>
          <w:bCs/>
          <w:sz w:val="24"/>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w:t>
      </w:r>
      <w:r>
        <w:rPr>
          <w:rFonts w:hint="eastAsia"/>
          <w:bCs/>
          <w:sz w:val="24"/>
        </w:rPr>
        <w:t>7</w:t>
      </w:r>
      <w:r>
        <w:rPr>
          <w:rFonts w:hint="eastAsia"/>
          <w:bCs/>
          <w:sz w:val="24"/>
        </w:rPr>
        <w:t>日的投资者收取不</w:t>
      </w:r>
      <w:r>
        <w:rPr>
          <w:rFonts w:hint="eastAsia"/>
          <w:bCs/>
          <w:sz w:val="24"/>
        </w:rPr>
        <w:t>低于</w:t>
      </w:r>
      <w:r>
        <w:rPr>
          <w:rFonts w:hint="eastAsia"/>
          <w:bCs/>
          <w:sz w:val="24"/>
        </w:rPr>
        <w:t>1.5%</w:t>
      </w:r>
      <w:r>
        <w:rPr>
          <w:rFonts w:hint="eastAsia"/>
          <w:bCs/>
          <w:sz w:val="24"/>
        </w:rPr>
        <w:t>的赎回费，并全额计入基金财产。</w:t>
      </w:r>
    </w:p>
    <w:p w14:paraId="1E5BFF32" w14:textId="77777777" w:rsidR="007C736D" w:rsidRDefault="00662CFB">
      <w:pPr>
        <w:spacing w:line="360" w:lineRule="auto"/>
        <w:ind w:firstLine="480"/>
        <w:rPr>
          <w:bCs/>
          <w:sz w:val="24"/>
        </w:rPr>
      </w:pPr>
      <w:r>
        <w:rPr>
          <w:rFonts w:hint="eastAsia"/>
          <w:bCs/>
          <w:sz w:val="24"/>
        </w:rPr>
        <w:t>6</w:t>
      </w:r>
      <w:r>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将新的费率或收费方式依照《信息披露办法》的有关规定在规定媒介上公告。</w:t>
      </w:r>
    </w:p>
    <w:p w14:paraId="5EF0A0EE" w14:textId="77777777" w:rsidR="007C736D" w:rsidRDefault="00662CFB">
      <w:pPr>
        <w:spacing w:line="360" w:lineRule="auto"/>
        <w:ind w:firstLine="480"/>
        <w:rPr>
          <w:bCs/>
          <w:sz w:val="24"/>
        </w:rPr>
      </w:pPr>
      <w:r>
        <w:rPr>
          <w:rFonts w:hint="eastAsia"/>
          <w:bCs/>
          <w:sz w:val="24"/>
        </w:rPr>
        <w:t>7</w:t>
      </w:r>
      <w:r>
        <w:rPr>
          <w:rFonts w:hint="eastAsia"/>
          <w:bCs/>
          <w:sz w:val="24"/>
        </w:rPr>
        <w:t>、当本基金发生大额申购或赎回情形时，基金管理人可以采用摆动定价机</w:t>
      </w:r>
      <w:r>
        <w:rPr>
          <w:rFonts w:hint="eastAsia"/>
          <w:bCs/>
          <w:sz w:val="24"/>
        </w:rPr>
        <w:lastRenderedPageBreak/>
        <w:t>制，以确保基金估值的公平性，具体处理原则与操作规范遵循相关法律法规以及监管部门、自律规则的规定，具体见基金管理人届时的相关公告。</w:t>
      </w:r>
    </w:p>
    <w:p w14:paraId="7398A71B" w14:textId="77777777" w:rsidR="007C736D" w:rsidRDefault="00662CFB">
      <w:pPr>
        <w:spacing w:line="360" w:lineRule="auto"/>
        <w:ind w:firstLine="480"/>
        <w:rPr>
          <w:bCs/>
          <w:sz w:val="24"/>
        </w:rPr>
      </w:pPr>
      <w:r>
        <w:rPr>
          <w:rFonts w:hint="eastAsia"/>
          <w:bCs/>
          <w:sz w:val="24"/>
        </w:rPr>
        <w:t>8</w:t>
      </w:r>
      <w:r>
        <w:rPr>
          <w:rFonts w:hint="eastAsia"/>
          <w:bCs/>
          <w:sz w:val="24"/>
        </w:rPr>
        <w:t>、基金管理人可以在不违反法律法规规定及基金合同约定的情形下，且对基金份额持有人无实质性不利影响的前提下，根据市场情况制定基金促销计划，定期或不定期地开展基金促销活动。在基金促销活动期间，基金管理人可以按相关监管部门要求履行必要手续后，对投资人适当调低基金销售费用。</w:t>
      </w:r>
    </w:p>
    <w:p w14:paraId="0E20BF8E" w14:textId="77777777" w:rsidR="007C736D" w:rsidRDefault="00662CFB">
      <w:pPr>
        <w:spacing w:line="360" w:lineRule="auto"/>
        <w:ind w:firstLine="480"/>
        <w:rPr>
          <w:bCs/>
          <w:sz w:val="24"/>
        </w:rPr>
      </w:pPr>
      <w:r>
        <w:rPr>
          <w:bCs/>
          <w:sz w:val="24"/>
        </w:rPr>
        <w:t>七</w:t>
      </w:r>
      <w:r>
        <w:rPr>
          <w:rFonts w:hint="eastAsia"/>
          <w:bCs/>
          <w:sz w:val="24"/>
        </w:rPr>
        <w:t>、</w:t>
      </w:r>
      <w:r>
        <w:rPr>
          <w:bCs/>
          <w:sz w:val="24"/>
        </w:rPr>
        <w:t>拒绝或暂停申购的情形</w:t>
      </w:r>
    </w:p>
    <w:p w14:paraId="2C32C5DF" w14:textId="77777777" w:rsidR="007C736D" w:rsidRDefault="00662CFB">
      <w:pPr>
        <w:spacing w:line="360" w:lineRule="auto"/>
        <w:ind w:firstLine="480"/>
        <w:rPr>
          <w:bCs/>
          <w:sz w:val="24"/>
        </w:rPr>
      </w:pPr>
      <w:r>
        <w:rPr>
          <w:bCs/>
          <w:sz w:val="24"/>
        </w:rPr>
        <w:t>发生下列情况时，基金管理人可拒绝或暂停接受投资人的申购申请：</w:t>
      </w:r>
    </w:p>
    <w:p w14:paraId="23597872" w14:textId="77777777" w:rsidR="007C736D" w:rsidRDefault="00662CFB">
      <w:pPr>
        <w:spacing w:line="360" w:lineRule="auto"/>
        <w:ind w:firstLine="480"/>
        <w:rPr>
          <w:bCs/>
          <w:sz w:val="24"/>
        </w:rPr>
      </w:pPr>
      <w:r>
        <w:rPr>
          <w:bCs/>
          <w:sz w:val="24"/>
        </w:rPr>
        <w:t>1</w:t>
      </w:r>
      <w:r>
        <w:rPr>
          <w:rFonts w:hint="eastAsia"/>
          <w:bCs/>
          <w:sz w:val="24"/>
        </w:rPr>
        <w:t>、</w:t>
      </w:r>
      <w:r>
        <w:rPr>
          <w:bCs/>
          <w:sz w:val="24"/>
        </w:rPr>
        <w:t>因不可抗力导致基金无法正常运作。</w:t>
      </w:r>
    </w:p>
    <w:p w14:paraId="2D77932B" w14:textId="77777777" w:rsidR="007C736D" w:rsidRDefault="00662CFB">
      <w:pPr>
        <w:spacing w:line="360" w:lineRule="auto"/>
        <w:ind w:firstLine="480"/>
        <w:rPr>
          <w:sz w:val="24"/>
        </w:rPr>
      </w:pPr>
      <w:r>
        <w:rPr>
          <w:sz w:val="24"/>
        </w:rPr>
        <w:t>2</w:t>
      </w:r>
      <w:r>
        <w:rPr>
          <w:rFonts w:hint="eastAsia"/>
          <w:sz w:val="24"/>
        </w:rPr>
        <w:t>、发生基金合同规定的暂停基金资产估值情况时，基金管理人可暂停接受投资人的申购申请。</w:t>
      </w:r>
    </w:p>
    <w:p w14:paraId="2691B145" w14:textId="77777777" w:rsidR="007C736D" w:rsidRDefault="00662CFB">
      <w:pPr>
        <w:spacing w:line="360" w:lineRule="auto"/>
        <w:ind w:firstLine="480"/>
        <w:rPr>
          <w:bCs/>
          <w:sz w:val="24"/>
        </w:rPr>
      </w:pPr>
      <w:r>
        <w:rPr>
          <w:rFonts w:hint="eastAsia"/>
          <w:bCs/>
          <w:sz w:val="24"/>
        </w:rPr>
        <w:t>3</w:t>
      </w:r>
      <w:r>
        <w:rPr>
          <w:rFonts w:hint="eastAsia"/>
          <w:bCs/>
          <w:sz w:val="24"/>
        </w:rPr>
        <w:t>、</w:t>
      </w:r>
      <w:r>
        <w:rPr>
          <w:bCs/>
          <w:sz w:val="24"/>
        </w:rPr>
        <w:t>证券</w:t>
      </w:r>
      <w:r>
        <w:rPr>
          <w:rFonts w:hint="eastAsia"/>
          <w:bCs/>
          <w:sz w:val="24"/>
        </w:rPr>
        <w:t>、</w:t>
      </w:r>
      <w:r>
        <w:rPr>
          <w:bCs/>
          <w:sz w:val="24"/>
        </w:rPr>
        <w:t>期货交易所交易时间非</w:t>
      </w:r>
      <w:r>
        <w:rPr>
          <w:bCs/>
          <w:sz w:val="24"/>
        </w:rPr>
        <w:t>正常停市，</w:t>
      </w:r>
      <w:r>
        <w:rPr>
          <w:rFonts w:hint="eastAsia"/>
          <w:bCs/>
          <w:sz w:val="24"/>
        </w:rPr>
        <w:t>或基金参与港股通交易且港股通暂停交易，</w:t>
      </w:r>
      <w:r>
        <w:rPr>
          <w:bCs/>
          <w:sz w:val="24"/>
        </w:rPr>
        <w:t>导致基金管理人无法计算当日基金资产净值。</w:t>
      </w:r>
    </w:p>
    <w:p w14:paraId="2DBC708C" w14:textId="77777777" w:rsidR="007C736D" w:rsidRDefault="00662CFB">
      <w:pPr>
        <w:spacing w:line="360" w:lineRule="auto"/>
        <w:ind w:firstLine="480"/>
        <w:rPr>
          <w:bCs/>
          <w:sz w:val="24"/>
        </w:rPr>
      </w:pPr>
      <w:bookmarkStart w:id="124" w:name="_Hlt70481650"/>
      <w:bookmarkEnd w:id="124"/>
      <w:r>
        <w:rPr>
          <w:rFonts w:hint="eastAsia"/>
          <w:bCs/>
          <w:sz w:val="24"/>
        </w:rPr>
        <w:t>4</w:t>
      </w:r>
      <w:r>
        <w:rPr>
          <w:rFonts w:hint="eastAsia"/>
          <w:bCs/>
          <w:sz w:val="24"/>
        </w:rPr>
        <w:t>、</w:t>
      </w:r>
      <w:r>
        <w:rPr>
          <w:bCs/>
          <w:sz w:val="24"/>
        </w:rPr>
        <w:t>接受某笔或某些申购申请可能会影响或损害现有基金份额持有人利益时。</w:t>
      </w:r>
    </w:p>
    <w:p w14:paraId="3D08DB15" w14:textId="77777777" w:rsidR="007C736D" w:rsidRDefault="00662CFB">
      <w:pPr>
        <w:spacing w:line="360" w:lineRule="auto"/>
        <w:ind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w:t>
      </w:r>
      <w:r>
        <w:rPr>
          <w:rFonts w:hint="eastAsia"/>
          <w:bCs/>
          <w:sz w:val="24"/>
        </w:rPr>
        <w:t>或发生其他</w:t>
      </w:r>
      <w:r>
        <w:rPr>
          <w:bCs/>
          <w:sz w:val="24"/>
        </w:rPr>
        <w:t>损害现有基金份额持有人利益的情形。</w:t>
      </w:r>
    </w:p>
    <w:p w14:paraId="4DAFEA72" w14:textId="77777777" w:rsidR="007C736D" w:rsidRDefault="00662CFB">
      <w:pPr>
        <w:spacing w:line="360" w:lineRule="auto"/>
        <w:ind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16AEE9DC" w14:textId="77777777" w:rsidR="007C736D" w:rsidRDefault="00662CFB">
      <w:pPr>
        <w:spacing w:line="360" w:lineRule="auto"/>
        <w:ind w:firstLine="480"/>
        <w:rPr>
          <w:bCs/>
          <w:sz w:val="24"/>
        </w:rPr>
      </w:pPr>
      <w:r>
        <w:rPr>
          <w:rFonts w:hint="eastAsia"/>
          <w:bCs/>
          <w:sz w:val="24"/>
        </w:rPr>
        <w:t>7</w:t>
      </w:r>
      <w:r>
        <w:rPr>
          <w:rFonts w:hint="eastAsia"/>
          <w:bCs/>
          <w:sz w:val="24"/>
        </w:rPr>
        <w:t>、基金管理人、基金托管人、基金</w:t>
      </w:r>
      <w:r>
        <w:rPr>
          <w:rFonts w:hint="eastAsia"/>
          <w:bCs/>
          <w:sz w:val="24"/>
        </w:rPr>
        <w:t>销售机构或登记机构的异常情况导致基金销售系统、基金登记系统或基金会计系统无法正常运行。</w:t>
      </w:r>
    </w:p>
    <w:p w14:paraId="6AB9E1BB" w14:textId="77777777" w:rsidR="007C736D" w:rsidRDefault="00662CFB">
      <w:pPr>
        <w:spacing w:line="360" w:lineRule="auto"/>
        <w:ind w:firstLine="480"/>
        <w:rPr>
          <w:bCs/>
          <w:sz w:val="24"/>
        </w:rPr>
      </w:pPr>
      <w:r>
        <w:rPr>
          <w:bCs/>
          <w:sz w:val="24"/>
        </w:rPr>
        <w:t>8</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05A60C66" w14:textId="77777777" w:rsidR="007C736D" w:rsidRDefault="00662CFB">
      <w:pPr>
        <w:spacing w:line="360" w:lineRule="auto"/>
        <w:ind w:firstLine="480"/>
        <w:rPr>
          <w:bCs/>
          <w:sz w:val="24"/>
        </w:rPr>
      </w:pPr>
      <w:r>
        <w:rPr>
          <w:bCs/>
          <w:sz w:val="24"/>
        </w:rPr>
        <w:t>9</w:t>
      </w:r>
      <w:r>
        <w:rPr>
          <w:rFonts w:hint="eastAsia"/>
          <w:bCs/>
          <w:sz w:val="24"/>
        </w:rPr>
        <w:t>、基金参与港股通交易且港股通交易每日额度不足。</w:t>
      </w:r>
    </w:p>
    <w:p w14:paraId="3C9F798C" w14:textId="77777777" w:rsidR="007C736D" w:rsidRDefault="00662CFB">
      <w:pPr>
        <w:spacing w:line="360" w:lineRule="auto"/>
        <w:ind w:firstLine="480"/>
        <w:rPr>
          <w:bCs/>
          <w:sz w:val="24"/>
        </w:rPr>
      </w:pPr>
      <w:r>
        <w:rPr>
          <w:bCs/>
          <w:sz w:val="24"/>
        </w:rPr>
        <w:t>10</w:t>
      </w:r>
      <w:r>
        <w:rPr>
          <w:rFonts w:hint="eastAsia"/>
          <w:bCs/>
          <w:sz w:val="24"/>
        </w:rPr>
        <w:t>、某笔或某些申购申请超过基金管理人设定的基金总规模、单日净申购比例上限、单个投资人单日或单笔申购金额上限的。</w:t>
      </w:r>
    </w:p>
    <w:p w14:paraId="0ECADDED" w14:textId="77777777" w:rsidR="007C736D" w:rsidRDefault="00662CFB">
      <w:pPr>
        <w:spacing w:line="360" w:lineRule="auto"/>
        <w:ind w:firstLine="480"/>
        <w:rPr>
          <w:bCs/>
          <w:sz w:val="24"/>
        </w:rPr>
      </w:pPr>
      <w:r>
        <w:rPr>
          <w:bCs/>
          <w:sz w:val="24"/>
        </w:rPr>
        <w:t>11</w:t>
      </w:r>
      <w:r>
        <w:rPr>
          <w:rFonts w:hint="eastAsia"/>
          <w:bCs/>
          <w:sz w:val="24"/>
        </w:rPr>
        <w:t>、法律法规规定或中国证监会认定的其他情形。</w:t>
      </w:r>
    </w:p>
    <w:p w14:paraId="7E9558DC" w14:textId="77777777" w:rsidR="007C736D" w:rsidRDefault="00662CFB">
      <w:pPr>
        <w:spacing w:line="360" w:lineRule="auto"/>
        <w:ind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7</w:t>
      </w:r>
      <w:r>
        <w:rPr>
          <w:rFonts w:hint="eastAsia"/>
          <w:bCs/>
          <w:sz w:val="24"/>
        </w:rPr>
        <w:t>、</w:t>
      </w:r>
      <w:r>
        <w:rPr>
          <w:rFonts w:hint="eastAsia"/>
          <w:bCs/>
          <w:sz w:val="24"/>
        </w:rPr>
        <w:t>9</w:t>
      </w:r>
      <w:r>
        <w:rPr>
          <w:rFonts w:hint="eastAsia"/>
          <w:bCs/>
          <w:sz w:val="24"/>
        </w:rPr>
        <w:t>、</w:t>
      </w:r>
      <w:r>
        <w:rPr>
          <w:rFonts w:hint="eastAsia"/>
          <w:bCs/>
          <w:sz w:val="24"/>
        </w:rPr>
        <w:t>1</w:t>
      </w:r>
      <w:r>
        <w:rPr>
          <w:bCs/>
          <w:sz w:val="24"/>
        </w:rPr>
        <w:t>1</w:t>
      </w:r>
      <w:r>
        <w:rPr>
          <w:bCs/>
          <w:sz w:val="24"/>
        </w:rPr>
        <w:t>项暂停申购情形</w:t>
      </w:r>
      <w:r>
        <w:rPr>
          <w:rFonts w:hint="eastAsia"/>
          <w:bCs/>
          <w:sz w:val="24"/>
        </w:rPr>
        <w:t>之一且基金管理人决定暂停接受投资人申购申请</w:t>
      </w:r>
      <w:r>
        <w:rPr>
          <w:bCs/>
          <w:sz w:val="24"/>
        </w:rPr>
        <w:t>时，基金管理人应当根据有关规定</w:t>
      </w:r>
      <w:r>
        <w:rPr>
          <w:rFonts w:hint="eastAsia"/>
          <w:bCs/>
          <w:sz w:val="24"/>
        </w:rPr>
        <w:t>在规定媒介上</w:t>
      </w:r>
      <w:r>
        <w:rPr>
          <w:rFonts w:hint="eastAsia"/>
          <w:bCs/>
          <w:sz w:val="24"/>
        </w:rPr>
        <w:lastRenderedPageBreak/>
        <w:t>刊登暂停申购</w:t>
      </w:r>
      <w:r>
        <w:rPr>
          <w:bCs/>
          <w:sz w:val="24"/>
        </w:rPr>
        <w:t>公告。</w:t>
      </w:r>
      <w:r>
        <w:rPr>
          <w:rFonts w:hint="eastAsia"/>
          <w:bCs/>
          <w:sz w:val="24"/>
        </w:rPr>
        <w:t>当发生上述第</w:t>
      </w:r>
      <w:r>
        <w:rPr>
          <w:rFonts w:hint="eastAsia"/>
          <w:bCs/>
          <w:sz w:val="24"/>
        </w:rPr>
        <w:t>8</w:t>
      </w:r>
      <w:r>
        <w:rPr>
          <w:rFonts w:hint="eastAsia"/>
          <w:bCs/>
          <w:sz w:val="24"/>
        </w:rPr>
        <w:t>、</w:t>
      </w:r>
      <w:r>
        <w:rPr>
          <w:rFonts w:hint="eastAsia"/>
          <w:bCs/>
          <w:sz w:val="24"/>
        </w:rPr>
        <w:t>1</w:t>
      </w:r>
      <w:r>
        <w:rPr>
          <w:bCs/>
          <w:sz w:val="24"/>
        </w:rPr>
        <w:t>0</w:t>
      </w:r>
      <w:r>
        <w:rPr>
          <w:rFonts w:hint="eastAsia"/>
          <w:bCs/>
          <w:sz w:val="24"/>
        </w:rPr>
        <w:t>项情形时，基金管理人可以采取比例确认等方式对该投资人的申购申请进行限制，基金管理人也有权拒绝该等全部或者部分申购申请。</w:t>
      </w:r>
      <w:r>
        <w:rPr>
          <w:bCs/>
          <w:sz w:val="24"/>
        </w:rPr>
        <w:t>如果投资人的申购申请被</w:t>
      </w:r>
      <w:r>
        <w:rPr>
          <w:rFonts w:hint="eastAsia"/>
          <w:bCs/>
          <w:sz w:val="24"/>
        </w:rPr>
        <w:t>全部或部分</w:t>
      </w:r>
      <w:r>
        <w:rPr>
          <w:bCs/>
          <w:sz w:val="24"/>
        </w:rPr>
        <w:t>拒绝</w:t>
      </w:r>
      <w:r>
        <w:rPr>
          <w:rFonts w:hint="eastAsia"/>
          <w:bCs/>
          <w:sz w:val="24"/>
        </w:rPr>
        <w:t>的</w:t>
      </w:r>
      <w:r>
        <w:rPr>
          <w:bCs/>
          <w:sz w:val="24"/>
        </w:rPr>
        <w:t>，被拒绝的申购款项</w:t>
      </w:r>
      <w:r>
        <w:rPr>
          <w:rFonts w:hint="eastAsia"/>
          <w:bCs/>
          <w:sz w:val="24"/>
        </w:rPr>
        <w:t>本金</w:t>
      </w:r>
      <w:r>
        <w:rPr>
          <w:bCs/>
          <w:sz w:val="24"/>
        </w:rPr>
        <w:t>将退还给投资人。在暂停申购的情况消除时，基金管理人应及时恢复申购业务的办理。</w:t>
      </w:r>
    </w:p>
    <w:p w14:paraId="5B56CFBF" w14:textId="77777777" w:rsidR="007C736D" w:rsidRDefault="00662CFB">
      <w:pPr>
        <w:spacing w:line="360" w:lineRule="auto"/>
        <w:ind w:firstLine="480"/>
        <w:rPr>
          <w:bCs/>
          <w:sz w:val="24"/>
        </w:rPr>
      </w:pPr>
      <w:r>
        <w:rPr>
          <w:bCs/>
          <w:sz w:val="24"/>
        </w:rPr>
        <w:t>八</w:t>
      </w:r>
      <w:r>
        <w:rPr>
          <w:rFonts w:hint="eastAsia"/>
          <w:bCs/>
          <w:sz w:val="24"/>
        </w:rPr>
        <w:t>、</w:t>
      </w:r>
      <w:r>
        <w:rPr>
          <w:bCs/>
          <w:sz w:val="24"/>
        </w:rPr>
        <w:t>暂停赎回或延缓支付赎回款项的情形</w:t>
      </w:r>
    </w:p>
    <w:p w14:paraId="625E3F55" w14:textId="77777777" w:rsidR="007C736D" w:rsidRDefault="00662CFB">
      <w:pPr>
        <w:spacing w:line="360" w:lineRule="auto"/>
        <w:ind w:firstLine="480"/>
        <w:rPr>
          <w:bCs/>
          <w:sz w:val="24"/>
        </w:rPr>
      </w:pPr>
      <w:r>
        <w:rPr>
          <w:bCs/>
          <w:sz w:val="24"/>
        </w:rPr>
        <w:t>发生下列情形时，基金管理人可暂停接受投资人的赎回申请或延缓支付赎回款项：</w:t>
      </w:r>
    </w:p>
    <w:p w14:paraId="665662CC" w14:textId="77777777" w:rsidR="007C736D" w:rsidRDefault="00662CFB">
      <w:pPr>
        <w:spacing w:line="360" w:lineRule="auto"/>
        <w:ind w:firstLine="480"/>
        <w:rPr>
          <w:bCs/>
          <w:sz w:val="24"/>
        </w:rPr>
      </w:pPr>
      <w:r>
        <w:rPr>
          <w:bCs/>
          <w:sz w:val="24"/>
        </w:rPr>
        <w:t>1</w:t>
      </w:r>
      <w:r>
        <w:rPr>
          <w:rFonts w:hint="eastAsia"/>
          <w:bCs/>
          <w:sz w:val="24"/>
        </w:rPr>
        <w:t>、</w:t>
      </w:r>
      <w:r>
        <w:rPr>
          <w:bCs/>
          <w:sz w:val="24"/>
        </w:rPr>
        <w:t>因不可抗力导致基金</w:t>
      </w:r>
      <w:r>
        <w:rPr>
          <w:bCs/>
          <w:sz w:val="24"/>
        </w:rPr>
        <w:t>管理人不能支付赎回款项。</w:t>
      </w:r>
    </w:p>
    <w:p w14:paraId="72889972" w14:textId="77777777" w:rsidR="007C736D" w:rsidRDefault="00662CFB">
      <w:pPr>
        <w:spacing w:line="360" w:lineRule="auto"/>
        <w:ind w:firstLine="480"/>
        <w:rPr>
          <w:sz w:val="24"/>
        </w:rPr>
      </w:pPr>
      <w:r>
        <w:rPr>
          <w:sz w:val="24"/>
        </w:rPr>
        <w:t>2</w:t>
      </w:r>
      <w:r>
        <w:rPr>
          <w:rFonts w:hint="eastAsia"/>
          <w:sz w:val="24"/>
        </w:rPr>
        <w:t>、发生基金合同规定的暂停基金资产估值情况时，基金管理人可暂停接受投资人的赎回申请或延缓支付赎回款项。</w:t>
      </w:r>
    </w:p>
    <w:p w14:paraId="6122F270" w14:textId="77777777" w:rsidR="007C736D" w:rsidRDefault="00662CFB">
      <w:pPr>
        <w:spacing w:line="360" w:lineRule="auto"/>
        <w:ind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交易所交易时间非正常停市，</w:t>
      </w:r>
      <w:r>
        <w:rPr>
          <w:rFonts w:hint="eastAsia"/>
          <w:bCs/>
          <w:sz w:val="24"/>
        </w:rPr>
        <w:t>或基金参与港股通交易且港股通暂停交易</w:t>
      </w:r>
      <w:r>
        <w:rPr>
          <w:bCs/>
          <w:sz w:val="24"/>
        </w:rPr>
        <w:t>，导致基金管理人无法计算当日基金资产</w:t>
      </w:r>
      <w:bookmarkStart w:id="125" w:name="_Hlt152500890"/>
      <w:r>
        <w:rPr>
          <w:bCs/>
          <w:sz w:val="24"/>
        </w:rPr>
        <w:t>净值。</w:t>
      </w:r>
    </w:p>
    <w:p w14:paraId="23E6B627" w14:textId="77777777" w:rsidR="007C736D" w:rsidRDefault="00662CFB">
      <w:pPr>
        <w:spacing w:line="360" w:lineRule="auto"/>
        <w:ind w:firstLine="480"/>
        <w:rPr>
          <w:bCs/>
          <w:sz w:val="24"/>
        </w:rPr>
      </w:pPr>
      <w:r>
        <w:rPr>
          <w:rFonts w:hint="eastAsia"/>
          <w:bCs/>
          <w:sz w:val="24"/>
        </w:rPr>
        <w:t>4</w:t>
      </w:r>
      <w:r>
        <w:rPr>
          <w:rFonts w:hint="eastAsia"/>
          <w:bCs/>
          <w:sz w:val="24"/>
        </w:rPr>
        <w:t>、</w:t>
      </w:r>
      <w:r>
        <w:rPr>
          <w:bCs/>
          <w:sz w:val="24"/>
        </w:rPr>
        <w:t>连续两个或两个以上开放日发生巨额赎回。</w:t>
      </w:r>
      <w:bookmarkEnd w:id="125"/>
    </w:p>
    <w:p w14:paraId="1B8A6328" w14:textId="77777777" w:rsidR="007C736D" w:rsidRDefault="00662CFB">
      <w:pPr>
        <w:spacing w:line="360" w:lineRule="auto"/>
        <w:ind w:firstLine="480"/>
        <w:rPr>
          <w:bCs/>
          <w:sz w:val="24"/>
        </w:rPr>
      </w:pPr>
      <w:r>
        <w:rPr>
          <w:rFonts w:hint="eastAsia"/>
          <w:bCs/>
          <w:sz w:val="24"/>
        </w:rPr>
        <w:t>5</w:t>
      </w:r>
      <w:r>
        <w:rPr>
          <w:rFonts w:hint="eastAsia"/>
          <w:bCs/>
          <w:sz w:val="24"/>
        </w:rPr>
        <w:t>、发生继续接受赎回申请将损害</w:t>
      </w:r>
      <w:r>
        <w:rPr>
          <w:bCs/>
          <w:sz w:val="24"/>
        </w:rPr>
        <w:t>现有基金份额持有人利益的情形</w:t>
      </w:r>
      <w:r>
        <w:rPr>
          <w:rFonts w:hint="eastAsia"/>
          <w:bCs/>
          <w:sz w:val="24"/>
        </w:rPr>
        <w:t>时，基金管理人可暂停接受基金份额持有人的赎回申请。</w:t>
      </w:r>
    </w:p>
    <w:p w14:paraId="02C68F16" w14:textId="77777777" w:rsidR="007C736D" w:rsidRDefault="00662CFB">
      <w:pPr>
        <w:spacing w:line="360" w:lineRule="auto"/>
        <w:ind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p>
    <w:p w14:paraId="06532DA8" w14:textId="77777777" w:rsidR="007C736D" w:rsidRDefault="00662CFB">
      <w:pPr>
        <w:spacing w:line="360" w:lineRule="auto"/>
        <w:ind w:firstLine="480"/>
        <w:rPr>
          <w:bCs/>
          <w:sz w:val="24"/>
        </w:rPr>
      </w:pPr>
      <w:r>
        <w:rPr>
          <w:rFonts w:hint="eastAsia"/>
          <w:bCs/>
          <w:sz w:val="24"/>
        </w:rPr>
        <w:t>7</w:t>
      </w:r>
      <w:r>
        <w:rPr>
          <w:rFonts w:hint="eastAsia"/>
          <w:bCs/>
          <w:sz w:val="24"/>
        </w:rPr>
        <w:t>、</w:t>
      </w:r>
      <w:r>
        <w:rPr>
          <w:bCs/>
          <w:sz w:val="24"/>
        </w:rPr>
        <w:t>法律法规规定或中国证监会认定的其他情形。</w:t>
      </w:r>
    </w:p>
    <w:p w14:paraId="620A0D32" w14:textId="77777777" w:rsidR="007C736D" w:rsidRDefault="00662CFB">
      <w:pPr>
        <w:spacing w:line="360" w:lineRule="auto"/>
        <w:ind w:firstLine="480"/>
        <w:rPr>
          <w:bCs/>
        </w:rPr>
      </w:pPr>
      <w:r>
        <w:rPr>
          <w:bCs/>
          <w:sz w:val="24"/>
        </w:rPr>
        <w:t>发生上述情形</w:t>
      </w:r>
      <w:r>
        <w:rPr>
          <w:rFonts w:hint="eastAsia"/>
          <w:bCs/>
          <w:sz w:val="24"/>
        </w:rPr>
        <w:t>之一且基金管理人决定暂停赎回或延缓支付赎回款项</w:t>
      </w:r>
      <w:r>
        <w:rPr>
          <w:bCs/>
          <w:sz w:val="24"/>
        </w:rPr>
        <w:t>时，基金管理人应</w:t>
      </w:r>
      <w:r>
        <w:rPr>
          <w:rFonts w:hint="eastAsia"/>
          <w:bCs/>
          <w:sz w:val="24"/>
        </w:rPr>
        <w:t>按规定</w:t>
      </w:r>
      <w:r>
        <w:rPr>
          <w:bCs/>
          <w:sz w:val="24"/>
        </w:rPr>
        <w:t>报中国证监会备案，</w:t>
      </w:r>
      <w:r>
        <w:rPr>
          <w:rFonts w:hint="eastAsia"/>
          <w:bCs/>
          <w:sz w:val="24"/>
        </w:rPr>
        <w:t>并根据有关规定在规定媒介上刊登暂停赎回或延缓支付赎回款项等公告。</w:t>
      </w:r>
      <w:r>
        <w:rPr>
          <w:bCs/>
          <w:sz w:val="24"/>
        </w:rPr>
        <w:t>已确认的赎回申请，基金管理人应足额支付；如暂时不能足额支付，</w:t>
      </w:r>
      <w:r>
        <w:rPr>
          <w:rFonts w:hint="eastAsia"/>
          <w:bCs/>
          <w:sz w:val="24"/>
        </w:rPr>
        <w:t>应将可支付部分按单个账户申请量占申请总量的比</w:t>
      </w:r>
      <w:r>
        <w:rPr>
          <w:rFonts w:hint="eastAsia"/>
          <w:bCs/>
          <w:sz w:val="24"/>
        </w:rPr>
        <w:t>例分配给赎回申请人，</w:t>
      </w:r>
      <w:r>
        <w:rPr>
          <w:bCs/>
          <w:sz w:val="24"/>
        </w:rPr>
        <w:t>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2FC576D" w14:textId="77777777" w:rsidR="007C736D" w:rsidRDefault="00662CFB">
      <w:pPr>
        <w:spacing w:line="360" w:lineRule="auto"/>
        <w:ind w:firstLine="480"/>
        <w:rPr>
          <w:bCs/>
          <w:sz w:val="24"/>
        </w:rPr>
      </w:pPr>
      <w:r>
        <w:rPr>
          <w:bCs/>
          <w:sz w:val="24"/>
        </w:rPr>
        <w:t>九</w:t>
      </w:r>
      <w:r>
        <w:rPr>
          <w:rFonts w:hint="eastAsia"/>
          <w:bCs/>
          <w:sz w:val="24"/>
        </w:rPr>
        <w:t>、</w:t>
      </w:r>
      <w:r>
        <w:rPr>
          <w:bCs/>
          <w:sz w:val="24"/>
        </w:rPr>
        <w:t>巨额赎回的情形及处理方式</w:t>
      </w:r>
    </w:p>
    <w:p w14:paraId="17EA1976" w14:textId="77777777" w:rsidR="007C736D" w:rsidRDefault="00662CFB">
      <w:pPr>
        <w:spacing w:line="360" w:lineRule="auto"/>
        <w:ind w:firstLine="480"/>
        <w:rPr>
          <w:bCs/>
          <w:sz w:val="24"/>
        </w:rPr>
      </w:pPr>
      <w:r>
        <w:rPr>
          <w:bCs/>
          <w:sz w:val="24"/>
        </w:rPr>
        <w:lastRenderedPageBreak/>
        <w:t>1</w:t>
      </w:r>
      <w:r>
        <w:rPr>
          <w:rFonts w:hint="eastAsia"/>
          <w:bCs/>
          <w:sz w:val="24"/>
        </w:rPr>
        <w:t>、</w:t>
      </w:r>
      <w:r>
        <w:rPr>
          <w:bCs/>
          <w:sz w:val="24"/>
        </w:rPr>
        <w:t>巨额赎回的认定</w:t>
      </w:r>
    </w:p>
    <w:p w14:paraId="62EA2F4B" w14:textId="77777777" w:rsidR="007C736D" w:rsidRDefault="00662CFB">
      <w:pPr>
        <w:spacing w:line="360" w:lineRule="auto"/>
        <w:ind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rFonts w:hint="eastAsia"/>
          <w:bCs/>
          <w:sz w:val="24"/>
        </w:rPr>
        <w:t>10%</w:t>
      </w:r>
      <w:r>
        <w:rPr>
          <w:bCs/>
          <w:sz w:val="24"/>
        </w:rPr>
        <w:t>，即认为是发生了巨额赎回。</w:t>
      </w:r>
    </w:p>
    <w:p w14:paraId="364F49B0" w14:textId="77777777" w:rsidR="007C736D" w:rsidRDefault="00662CFB">
      <w:pPr>
        <w:spacing w:line="360" w:lineRule="auto"/>
        <w:ind w:firstLine="480"/>
        <w:rPr>
          <w:bCs/>
          <w:sz w:val="24"/>
        </w:rPr>
      </w:pPr>
      <w:r>
        <w:rPr>
          <w:bCs/>
          <w:sz w:val="24"/>
        </w:rPr>
        <w:t>2</w:t>
      </w:r>
      <w:r>
        <w:rPr>
          <w:rFonts w:hint="eastAsia"/>
          <w:bCs/>
          <w:sz w:val="24"/>
        </w:rPr>
        <w:t>、</w:t>
      </w:r>
      <w:r>
        <w:rPr>
          <w:bCs/>
          <w:sz w:val="24"/>
        </w:rPr>
        <w:t>巨额赎回的处理方式</w:t>
      </w:r>
    </w:p>
    <w:p w14:paraId="153A51AC" w14:textId="77777777" w:rsidR="007C736D" w:rsidRDefault="00662CFB">
      <w:pPr>
        <w:spacing w:line="360" w:lineRule="auto"/>
        <w:ind w:firstLine="480"/>
        <w:rPr>
          <w:bCs/>
          <w:sz w:val="24"/>
        </w:rPr>
      </w:pPr>
      <w:r>
        <w:rPr>
          <w:bCs/>
          <w:sz w:val="24"/>
        </w:rPr>
        <w:t>当基金出现巨额赎回时，基金管理人可以根据基金当时的资产组合状况决定全额赎回</w:t>
      </w:r>
      <w:r>
        <w:rPr>
          <w:rFonts w:hint="eastAsia"/>
          <w:bCs/>
          <w:sz w:val="24"/>
        </w:rPr>
        <w:t>、</w:t>
      </w:r>
      <w:r>
        <w:rPr>
          <w:bCs/>
          <w:sz w:val="24"/>
        </w:rPr>
        <w:t>部分延期赎回</w:t>
      </w:r>
      <w:r>
        <w:rPr>
          <w:rFonts w:hint="eastAsia"/>
          <w:bCs/>
          <w:sz w:val="24"/>
        </w:rPr>
        <w:t>或暂停赎回</w:t>
      </w:r>
      <w:r>
        <w:rPr>
          <w:bCs/>
          <w:sz w:val="24"/>
        </w:rPr>
        <w:t>。</w:t>
      </w:r>
    </w:p>
    <w:p w14:paraId="10FEEB13" w14:textId="77777777" w:rsidR="007C736D" w:rsidRDefault="00662CFB">
      <w:pPr>
        <w:spacing w:line="360" w:lineRule="auto"/>
        <w:ind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7BB64CF6" w14:textId="77777777" w:rsidR="007C736D" w:rsidRDefault="00662CFB">
      <w:pPr>
        <w:spacing w:line="360" w:lineRule="auto"/>
        <w:ind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Pr>
          <w:rFonts w:hint="eastAsia"/>
          <w:bCs/>
          <w:sz w:val="24"/>
        </w:rPr>
        <w:t>该类</w:t>
      </w:r>
      <w:r>
        <w:rPr>
          <w:bCs/>
          <w:sz w:val="24"/>
        </w:rPr>
        <w:t>基金份额净值为基础计算赎回金额，以此类推，直到全部赎回为止。如投资人在提交赎回申请时未作明确选择，投资人未能赎回部分作自动延期赎</w:t>
      </w:r>
      <w:r>
        <w:rPr>
          <w:bCs/>
          <w:sz w:val="24"/>
        </w:rPr>
        <w:t>回处理。</w:t>
      </w:r>
      <w:r>
        <w:rPr>
          <w:rFonts w:hint="eastAsia"/>
          <w:bCs/>
          <w:sz w:val="24"/>
        </w:rPr>
        <w:t>部分延期赎回不受单笔赎回最低份额的限制。</w:t>
      </w:r>
    </w:p>
    <w:p w14:paraId="592140E1" w14:textId="77777777" w:rsidR="007C736D" w:rsidRDefault="00662CFB">
      <w:pPr>
        <w:spacing w:line="360" w:lineRule="auto"/>
        <w:ind w:firstLine="480"/>
        <w:rPr>
          <w:bCs/>
          <w:sz w:val="24"/>
        </w:rPr>
      </w:pPr>
      <w:r>
        <w:rPr>
          <w:rFonts w:hint="eastAsia"/>
          <w:bCs/>
          <w:sz w:val="24"/>
        </w:rPr>
        <w:t>（</w:t>
      </w:r>
      <w:r>
        <w:rPr>
          <w:rFonts w:hint="eastAsia"/>
          <w:bCs/>
          <w:sz w:val="24"/>
        </w:rPr>
        <w:t>3</w:t>
      </w:r>
      <w:r>
        <w:rPr>
          <w:rFonts w:hint="eastAsia"/>
          <w:bCs/>
          <w:sz w:val="24"/>
        </w:rPr>
        <w:t>）若本基金发生巨额赎回且单个开放日内单个基金份额持有人的赎回申请超过前一开放日基金总份额的</w:t>
      </w:r>
      <w:r>
        <w:rPr>
          <w:rFonts w:hint="eastAsia"/>
          <w:bCs/>
          <w:sz w:val="24"/>
        </w:rPr>
        <w:t>20%</w:t>
      </w:r>
      <w:r>
        <w:rPr>
          <w:rFonts w:hint="eastAsia"/>
          <w:bCs/>
          <w:sz w:val="24"/>
        </w:rPr>
        <w:t>，基金管理人有权先行对该单个基金份额持有人超出</w:t>
      </w:r>
      <w:r>
        <w:rPr>
          <w:rFonts w:hint="eastAsia"/>
          <w:bCs/>
          <w:sz w:val="24"/>
        </w:rPr>
        <w:t>20%</w:t>
      </w:r>
      <w:r>
        <w:rPr>
          <w:rFonts w:hint="eastAsia"/>
          <w:bCs/>
          <w:sz w:val="24"/>
        </w:rPr>
        <w:t>的赎回申请实施延期办理，而对该单个基金份额持有人</w:t>
      </w:r>
      <w:r>
        <w:rPr>
          <w:rFonts w:hint="eastAsia"/>
          <w:bCs/>
          <w:sz w:val="24"/>
        </w:rPr>
        <w:t>20%</w:t>
      </w:r>
      <w:r>
        <w:rPr>
          <w:rFonts w:hint="eastAsia"/>
          <w:bCs/>
          <w:sz w:val="24"/>
        </w:rPr>
        <w:t>以内（含</w:t>
      </w:r>
      <w:r>
        <w:rPr>
          <w:rFonts w:hint="eastAsia"/>
          <w:bCs/>
          <w:sz w:val="24"/>
        </w:rPr>
        <w:t>20%</w:t>
      </w:r>
      <w:r>
        <w:rPr>
          <w:rFonts w:hint="eastAsia"/>
          <w:bCs/>
          <w:sz w:val="24"/>
        </w:rPr>
        <w:t>）的赎回申请，基金管理人根据前段“（</w:t>
      </w:r>
      <w:r>
        <w:rPr>
          <w:rFonts w:hint="eastAsia"/>
          <w:bCs/>
          <w:sz w:val="24"/>
        </w:rPr>
        <w:t>1</w:t>
      </w:r>
      <w:r>
        <w:rPr>
          <w:rFonts w:hint="eastAsia"/>
          <w:bCs/>
          <w:sz w:val="24"/>
        </w:rPr>
        <w:t>）全额赎回”或“（</w:t>
      </w:r>
      <w:r>
        <w:rPr>
          <w:rFonts w:hint="eastAsia"/>
          <w:bCs/>
          <w:sz w:val="24"/>
        </w:rPr>
        <w:t>2</w:t>
      </w:r>
      <w:r>
        <w:rPr>
          <w:rFonts w:hint="eastAsia"/>
          <w:bCs/>
          <w:sz w:val="24"/>
        </w:rPr>
        <w:t>）部分延期赎回”的约定方式与其他基金份额持有人的赎回申请一并办理。对于未能赎回部分，投资人在提交赎回申请时可以选择延期赎回或取消赎回。选择延期赎回的，延期的赎回申请将自动转入下一个开放</w:t>
      </w:r>
      <w:r>
        <w:rPr>
          <w:rFonts w:hint="eastAsia"/>
          <w:bCs/>
          <w:sz w:val="24"/>
        </w:rPr>
        <w:t>日与下一开放日其他赎回申请一并处理，无优先权并以下一开放日该类基金份额净值为基础计算赎回金</w:t>
      </w:r>
      <w:r>
        <w:rPr>
          <w:rFonts w:hint="eastAsia"/>
          <w:bCs/>
          <w:sz w:val="24"/>
        </w:rPr>
        <w:lastRenderedPageBreak/>
        <w:t>额，以此类推，直到全部赎回为止；选择取消赎回的，当日未获受理的部分赎回申请将被撤销。如投资人在提交赎回申请时未作明确选择，投资人未能赎回部分作自动延期赎回处理。部分延期赎回不受单笔赎回最低份额的限制。</w:t>
      </w:r>
    </w:p>
    <w:p w14:paraId="1FDA2D96" w14:textId="77777777" w:rsidR="007C736D" w:rsidRDefault="00662CFB">
      <w:pPr>
        <w:spacing w:line="360" w:lineRule="auto"/>
        <w:ind w:firstLine="480"/>
        <w:rPr>
          <w:bCs/>
          <w:sz w:val="24"/>
        </w:rPr>
      </w:pPr>
      <w:r>
        <w:rPr>
          <w:rFonts w:hint="eastAsia"/>
          <w:bCs/>
          <w:sz w:val="24"/>
        </w:rPr>
        <w:t>（</w:t>
      </w:r>
      <w:r>
        <w:rPr>
          <w:rFonts w:hint="eastAsia"/>
          <w:bCs/>
          <w:sz w:val="24"/>
        </w:rPr>
        <w:t>4</w:t>
      </w:r>
      <w:r>
        <w:rPr>
          <w:rFonts w:hint="eastAsia"/>
          <w:bCs/>
          <w:sz w:val="24"/>
        </w:rPr>
        <w:t>）暂停赎回：连续</w:t>
      </w:r>
      <w:r>
        <w:rPr>
          <w:rFonts w:hint="eastAsia"/>
          <w:bCs/>
          <w:sz w:val="24"/>
        </w:rPr>
        <w:t>2</w:t>
      </w:r>
      <w:r>
        <w:rPr>
          <w:rFonts w:hint="eastAsia"/>
          <w:bCs/>
          <w:sz w:val="24"/>
        </w:rPr>
        <w:t>个开放日以上</w:t>
      </w:r>
      <w:r>
        <w:rPr>
          <w:rFonts w:hint="eastAsia"/>
          <w:bCs/>
          <w:sz w:val="24"/>
        </w:rPr>
        <w:t>(</w:t>
      </w:r>
      <w:r>
        <w:rPr>
          <w:rFonts w:hint="eastAsia"/>
          <w:bCs/>
          <w:sz w:val="24"/>
        </w:rPr>
        <w:t>含本数</w:t>
      </w:r>
      <w:r>
        <w:rPr>
          <w:rFonts w:hint="eastAsia"/>
          <w:bCs/>
          <w:sz w:val="24"/>
        </w:rPr>
        <w:t>)</w:t>
      </w:r>
      <w:r>
        <w:rPr>
          <w:rFonts w:hint="eastAsia"/>
          <w:bCs/>
          <w:sz w:val="24"/>
        </w:rPr>
        <w:t>发生巨额赎回，如基金管理人认为有必要，可暂停接受基金的赎回申请；已经接受的赎回申请可以延缓支付赎回款项，但不得超过</w:t>
      </w:r>
      <w:r>
        <w:rPr>
          <w:rFonts w:hint="eastAsia"/>
          <w:bCs/>
          <w:sz w:val="24"/>
        </w:rPr>
        <w:t>20</w:t>
      </w:r>
      <w:r>
        <w:rPr>
          <w:rFonts w:hint="eastAsia"/>
          <w:bCs/>
          <w:sz w:val="24"/>
        </w:rPr>
        <w:t>个工作日，并应当在规定媒介上进行公告。</w:t>
      </w:r>
    </w:p>
    <w:p w14:paraId="2D87F735" w14:textId="77777777" w:rsidR="007C736D" w:rsidRDefault="00662CFB">
      <w:pPr>
        <w:spacing w:line="360" w:lineRule="auto"/>
        <w:ind w:firstLine="480"/>
        <w:rPr>
          <w:bCs/>
          <w:sz w:val="24"/>
        </w:rPr>
      </w:pPr>
      <w:r>
        <w:rPr>
          <w:bCs/>
          <w:sz w:val="24"/>
        </w:rPr>
        <w:t>3</w:t>
      </w:r>
      <w:r>
        <w:rPr>
          <w:rFonts w:hint="eastAsia"/>
          <w:bCs/>
          <w:sz w:val="24"/>
        </w:rPr>
        <w:t>、</w:t>
      </w:r>
      <w:r>
        <w:rPr>
          <w:bCs/>
          <w:sz w:val="24"/>
        </w:rPr>
        <w:t>巨额赎回的公告</w:t>
      </w:r>
    </w:p>
    <w:p w14:paraId="6FB98E4C" w14:textId="77777777" w:rsidR="007C736D" w:rsidRDefault="00662CFB">
      <w:pPr>
        <w:spacing w:line="360" w:lineRule="auto"/>
        <w:ind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w:t>
      </w:r>
      <w:r>
        <w:rPr>
          <w:rFonts w:hint="eastAsia"/>
          <w:bCs/>
          <w:sz w:val="24"/>
        </w:rPr>
        <w:t>（包括但不限于短信、电子邮件或由基金销售机构通知等方式）</w:t>
      </w:r>
      <w:r>
        <w:rPr>
          <w:bCs/>
          <w:sz w:val="24"/>
        </w:rPr>
        <w:t>在</w:t>
      </w:r>
      <w:r>
        <w:rPr>
          <w:rFonts w:hint="eastAsia"/>
          <w:bCs/>
          <w:sz w:val="24"/>
        </w:rPr>
        <w:t>3</w:t>
      </w:r>
      <w:r>
        <w:rPr>
          <w:bCs/>
          <w:sz w:val="24"/>
        </w:rPr>
        <w:t>个交易日内通知基金份额持有人，说明有关处理方法，</w:t>
      </w:r>
      <w:r>
        <w:rPr>
          <w:rFonts w:hint="eastAsia"/>
          <w:bCs/>
          <w:sz w:val="24"/>
        </w:rPr>
        <w:t>并按照《信息披露办法》的有关规定进行</w:t>
      </w:r>
      <w:r>
        <w:rPr>
          <w:bCs/>
          <w:sz w:val="24"/>
        </w:rPr>
        <w:t>公告。</w:t>
      </w:r>
    </w:p>
    <w:p w14:paraId="61205601" w14:textId="77777777" w:rsidR="007C736D" w:rsidRDefault="00662CFB">
      <w:pPr>
        <w:spacing w:line="360" w:lineRule="auto"/>
        <w:ind w:firstLine="480"/>
        <w:rPr>
          <w:bCs/>
          <w:sz w:val="24"/>
        </w:rPr>
      </w:pPr>
      <w:r>
        <w:rPr>
          <w:bCs/>
          <w:sz w:val="24"/>
        </w:rPr>
        <w:t>十</w:t>
      </w:r>
      <w:r>
        <w:rPr>
          <w:rFonts w:hint="eastAsia"/>
          <w:bCs/>
          <w:sz w:val="24"/>
        </w:rPr>
        <w:t>、</w:t>
      </w:r>
      <w:r>
        <w:rPr>
          <w:bCs/>
          <w:sz w:val="24"/>
        </w:rPr>
        <w:t>暂停申购或赎回的公告和重新开放申购或赎回的公告</w:t>
      </w:r>
    </w:p>
    <w:p w14:paraId="4CB785DD" w14:textId="77777777" w:rsidR="007C736D" w:rsidRDefault="00662CFB">
      <w:pPr>
        <w:spacing w:line="360" w:lineRule="auto"/>
        <w:ind w:firstLine="480"/>
        <w:rPr>
          <w:bCs/>
          <w:sz w:val="24"/>
        </w:rPr>
      </w:pPr>
      <w:r>
        <w:rPr>
          <w:bCs/>
          <w:sz w:val="24"/>
        </w:rPr>
        <w:t>1</w:t>
      </w:r>
      <w:r>
        <w:rPr>
          <w:rFonts w:hint="eastAsia"/>
          <w:bCs/>
          <w:sz w:val="24"/>
        </w:rPr>
        <w:t>、</w:t>
      </w:r>
      <w:r>
        <w:rPr>
          <w:bCs/>
          <w:sz w:val="24"/>
        </w:rPr>
        <w:t>发生上述暂停申购或赎回情况的，基金管理人应</w:t>
      </w:r>
      <w:r>
        <w:rPr>
          <w:rFonts w:hint="eastAsia"/>
          <w:bCs/>
          <w:sz w:val="24"/>
        </w:rPr>
        <w:t>在规定期限内在规定媒介上刊登暂停公告</w:t>
      </w:r>
      <w:r>
        <w:rPr>
          <w:bCs/>
          <w:sz w:val="24"/>
        </w:rPr>
        <w:t>。</w:t>
      </w:r>
    </w:p>
    <w:p w14:paraId="645C4C91" w14:textId="77777777" w:rsidR="007C736D" w:rsidRDefault="00662CFB">
      <w:pPr>
        <w:spacing w:line="360" w:lineRule="auto"/>
        <w:ind w:firstLine="480"/>
        <w:rPr>
          <w:sz w:val="24"/>
        </w:rPr>
      </w:pPr>
      <w:r>
        <w:rPr>
          <w:bCs/>
          <w:sz w:val="24"/>
        </w:rPr>
        <w:t>2</w:t>
      </w:r>
      <w:r>
        <w:rPr>
          <w:rFonts w:hint="eastAsia"/>
          <w:bCs/>
          <w:sz w:val="24"/>
        </w:rPr>
        <w:t>、暂停申购或赎回结束、基金重新开放申购或赎回时，基金管理人应依照《信息披露办法》的有关规定，在规定媒介上刊登基金重新开放申购或赎回</w:t>
      </w:r>
      <w:r>
        <w:rPr>
          <w:rFonts w:hint="eastAsia"/>
          <w:bCs/>
          <w:sz w:val="24"/>
        </w:rPr>
        <w:t>公告；也可以根据实际情况在暂停公告中明确重新开放申购或赎回的时间，届时不再另行发布重新开放的公告。</w:t>
      </w:r>
    </w:p>
    <w:p w14:paraId="39D6A638" w14:textId="77777777" w:rsidR="007C736D" w:rsidRDefault="00662CFB">
      <w:pPr>
        <w:spacing w:line="360" w:lineRule="auto"/>
        <w:ind w:firstLine="480"/>
        <w:rPr>
          <w:bCs/>
          <w:sz w:val="24"/>
        </w:rPr>
      </w:pPr>
      <w:r>
        <w:rPr>
          <w:bCs/>
          <w:sz w:val="24"/>
        </w:rPr>
        <w:t>十一</w:t>
      </w:r>
      <w:r>
        <w:rPr>
          <w:rFonts w:hint="eastAsia"/>
          <w:bCs/>
          <w:sz w:val="24"/>
        </w:rPr>
        <w:t>、</w:t>
      </w:r>
      <w:r>
        <w:rPr>
          <w:bCs/>
          <w:sz w:val="24"/>
        </w:rPr>
        <w:t>基金转换</w:t>
      </w:r>
    </w:p>
    <w:p w14:paraId="263F84CC" w14:textId="77777777" w:rsidR="007C736D" w:rsidRDefault="00662CFB">
      <w:pPr>
        <w:spacing w:line="360" w:lineRule="auto"/>
        <w:ind w:firstLine="480"/>
        <w:rPr>
          <w:bCs/>
          <w:sz w:val="24"/>
        </w:rPr>
      </w:pPr>
      <w:r>
        <w:rPr>
          <w:bCs/>
          <w:sz w:val="24"/>
        </w:rPr>
        <w:t>基金管理人可以根据相关法律法规以及本基金合同的规定决定开办本基金的转换业务，基金转换可以收取一定的转换费，</w:t>
      </w:r>
      <w:r>
        <w:rPr>
          <w:rFonts w:hint="eastAsia"/>
          <w:bCs/>
          <w:sz w:val="24"/>
        </w:rPr>
        <w:t>转换范围等</w:t>
      </w:r>
      <w:r>
        <w:rPr>
          <w:bCs/>
          <w:sz w:val="24"/>
        </w:rPr>
        <w:t>相关规则由基金管理人届时根据相关法律法规及本基金合同的规定制定并公告，并提前告知基金托管人与相关机构。</w:t>
      </w:r>
    </w:p>
    <w:p w14:paraId="42BFA1C8" w14:textId="77777777" w:rsidR="007C736D" w:rsidRDefault="00662CFB">
      <w:pPr>
        <w:spacing w:line="360" w:lineRule="auto"/>
        <w:ind w:firstLine="480"/>
        <w:rPr>
          <w:bCs/>
          <w:sz w:val="24"/>
        </w:rPr>
      </w:pPr>
      <w:r>
        <w:rPr>
          <w:rFonts w:hint="eastAsia"/>
          <w:bCs/>
          <w:sz w:val="24"/>
        </w:rPr>
        <w:t>十二、基金份额的转让</w:t>
      </w:r>
    </w:p>
    <w:p w14:paraId="7D85D074" w14:textId="77777777" w:rsidR="007C736D" w:rsidRDefault="00662CFB">
      <w:pPr>
        <w:spacing w:line="360" w:lineRule="auto"/>
        <w:ind w:firstLine="480"/>
        <w:rPr>
          <w:bCs/>
          <w:sz w:val="24"/>
        </w:rPr>
      </w:pPr>
      <w:r>
        <w:rPr>
          <w:rFonts w:hint="eastAsia"/>
          <w:bCs/>
          <w:sz w:val="24"/>
        </w:rPr>
        <w:t>在法律法规允许且条件具备的情况下，且对基金份额持有人无实质性不利影响的前提下，履行相关程序后，基金管理人可受理基金份额持有人通过中国证监会认可的交易场所或</w:t>
      </w:r>
      <w:r>
        <w:rPr>
          <w:rFonts w:hint="eastAsia"/>
          <w:bCs/>
          <w:sz w:val="24"/>
        </w:rPr>
        <w:t>者其他方式进行份额转让的申请并由登记机构办理基金份额的过户登记。</w:t>
      </w:r>
    </w:p>
    <w:p w14:paraId="7FF8C035" w14:textId="77777777" w:rsidR="007C736D" w:rsidRDefault="00662CFB">
      <w:pPr>
        <w:spacing w:line="360" w:lineRule="auto"/>
        <w:ind w:firstLine="480"/>
        <w:rPr>
          <w:bCs/>
          <w:sz w:val="24"/>
        </w:rPr>
      </w:pPr>
      <w:r>
        <w:rPr>
          <w:bCs/>
          <w:sz w:val="24"/>
        </w:rPr>
        <w:t>十</w:t>
      </w:r>
      <w:r>
        <w:rPr>
          <w:rFonts w:hint="eastAsia"/>
          <w:bCs/>
          <w:sz w:val="24"/>
        </w:rPr>
        <w:t>三、</w:t>
      </w:r>
      <w:r>
        <w:rPr>
          <w:bCs/>
          <w:sz w:val="24"/>
        </w:rPr>
        <w:t>基金的非交易过户</w:t>
      </w:r>
    </w:p>
    <w:p w14:paraId="46A40BBB" w14:textId="77777777" w:rsidR="007C736D" w:rsidRDefault="00662CFB">
      <w:pPr>
        <w:spacing w:line="360" w:lineRule="auto"/>
        <w:ind w:firstLine="480"/>
        <w:rPr>
          <w:bCs/>
          <w:sz w:val="24"/>
        </w:rPr>
      </w:pPr>
      <w:r>
        <w:rPr>
          <w:bCs/>
          <w:sz w:val="24"/>
        </w:rPr>
        <w:lastRenderedPageBreak/>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w:t>
      </w:r>
      <w:r>
        <w:rPr>
          <w:rFonts w:hint="eastAsia"/>
          <w:bCs/>
          <w:sz w:val="24"/>
        </w:rPr>
        <w:t>或者按照相关法律法规或国家有权机关要求的方式进行处理的行为</w:t>
      </w:r>
      <w:r>
        <w:rPr>
          <w:bCs/>
          <w:sz w:val="24"/>
        </w:rPr>
        <w:t>。无论在上述何种情况下，接受划转的主体必须是依法可以持有本基金基金份额的投资人。</w:t>
      </w:r>
    </w:p>
    <w:p w14:paraId="41C70FB1" w14:textId="77777777" w:rsidR="007C736D" w:rsidRDefault="00662CFB">
      <w:pPr>
        <w:spacing w:line="360" w:lineRule="auto"/>
        <w:ind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w:t>
      </w:r>
      <w:r>
        <w:rPr>
          <w:rFonts w:ascii="宋体" w:hAnsi="宋体" w:hint="eastAsia"/>
          <w:sz w:val="24"/>
        </w:rPr>
        <w:t>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DC0BF5A" w14:textId="77777777" w:rsidR="007C736D" w:rsidRDefault="00662CFB">
      <w:pPr>
        <w:spacing w:line="360" w:lineRule="auto"/>
        <w:ind w:firstLine="480"/>
        <w:rPr>
          <w:bCs/>
          <w:sz w:val="24"/>
        </w:rPr>
      </w:pPr>
      <w:r>
        <w:rPr>
          <w:bCs/>
          <w:sz w:val="24"/>
        </w:rPr>
        <w:t>十</w:t>
      </w:r>
      <w:r>
        <w:rPr>
          <w:rFonts w:hint="eastAsia"/>
          <w:bCs/>
          <w:sz w:val="24"/>
        </w:rPr>
        <w:t>四、</w:t>
      </w:r>
      <w:r>
        <w:rPr>
          <w:bCs/>
          <w:sz w:val="24"/>
        </w:rPr>
        <w:t>基金的转托管</w:t>
      </w:r>
    </w:p>
    <w:p w14:paraId="0D69CEF7" w14:textId="77777777" w:rsidR="007C736D" w:rsidRDefault="00662CFB">
      <w:pPr>
        <w:spacing w:line="360" w:lineRule="auto"/>
        <w:ind w:firstLine="480"/>
        <w:rPr>
          <w:bCs/>
          <w:sz w:val="24"/>
        </w:rPr>
      </w:pPr>
      <w:r>
        <w:rPr>
          <w:bCs/>
          <w:sz w:val="24"/>
        </w:rPr>
        <w:t>基金份额持有人可办理已持有基金份额在不同销售机构之间的转托管，基金销售机构可以按照规定的标准收取转托管费。</w:t>
      </w:r>
    </w:p>
    <w:p w14:paraId="13441D5E" w14:textId="77777777" w:rsidR="007C736D" w:rsidRDefault="00662CFB">
      <w:pPr>
        <w:spacing w:line="360" w:lineRule="auto"/>
        <w:ind w:firstLine="480"/>
        <w:rPr>
          <w:bCs/>
          <w:sz w:val="24"/>
        </w:rPr>
      </w:pPr>
      <w:r>
        <w:rPr>
          <w:bCs/>
          <w:sz w:val="24"/>
        </w:rPr>
        <w:t>十</w:t>
      </w:r>
      <w:r>
        <w:rPr>
          <w:rFonts w:hint="eastAsia"/>
          <w:bCs/>
          <w:sz w:val="24"/>
        </w:rPr>
        <w:t>五、定期定额投资计划</w:t>
      </w:r>
    </w:p>
    <w:p w14:paraId="175F5B94" w14:textId="77777777" w:rsidR="007C736D" w:rsidRDefault="00662CFB">
      <w:pPr>
        <w:spacing w:line="360" w:lineRule="auto"/>
        <w:ind w:firstLine="480"/>
        <w:rPr>
          <w:bCs/>
          <w:sz w:val="24"/>
        </w:rPr>
      </w:pPr>
      <w:r>
        <w:rPr>
          <w:bCs/>
          <w:sz w:val="24"/>
        </w:rPr>
        <w:t>基金管理人可以为投资人办理</w:t>
      </w:r>
      <w:r>
        <w:rPr>
          <w:rFonts w:hint="eastAsia"/>
          <w:bCs/>
          <w:sz w:val="24"/>
        </w:rPr>
        <w:t>定期定额投资计划</w:t>
      </w:r>
      <w:r>
        <w:rPr>
          <w:bCs/>
          <w:sz w:val="24"/>
        </w:rPr>
        <w:t>，具体规则由基金管理人另行规定。投资人在办理</w:t>
      </w:r>
      <w:r>
        <w:rPr>
          <w:rFonts w:hint="eastAsia"/>
          <w:bCs/>
          <w:sz w:val="24"/>
        </w:rPr>
        <w:t>定期定额投资计划</w:t>
      </w:r>
      <w:r>
        <w:rPr>
          <w:bCs/>
          <w:sz w:val="24"/>
        </w:rPr>
        <w:t>时可自行约定每期</w:t>
      </w:r>
      <w:r>
        <w:rPr>
          <w:rFonts w:hint="eastAsia"/>
          <w:bCs/>
          <w:sz w:val="24"/>
        </w:rPr>
        <w:t>扣款</w:t>
      </w:r>
      <w:r>
        <w:rPr>
          <w:bCs/>
          <w:sz w:val="24"/>
        </w:rPr>
        <w:t>金额，每期</w:t>
      </w:r>
      <w:r>
        <w:rPr>
          <w:rFonts w:hint="eastAsia"/>
          <w:bCs/>
          <w:sz w:val="24"/>
        </w:rPr>
        <w:t>扣款</w:t>
      </w:r>
      <w:r>
        <w:rPr>
          <w:bCs/>
          <w:sz w:val="24"/>
        </w:rPr>
        <w:t>金额必须不低于基金管理人在相关公告或更新的招募说明书中所规定的</w:t>
      </w:r>
      <w:r>
        <w:rPr>
          <w:rFonts w:hint="eastAsia"/>
          <w:bCs/>
          <w:sz w:val="24"/>
        </w:rPr>
        <w:t>定期定额投资计划</w:t>
      </w:r>
      <w:r>
        <w:rPr>
          <w:bCs/>
          <w:sz w:val="24"/>
        </w:rPr>
        <w:t>最低申购金额。</w:t>
      </w:r>
    </w:p>
    <w:p w14:paraId="12C00E0F" w14:textId="77777777" w:rsidR="007C736D" w:rsidRDefault="00662CFB">
      <w:pPr>
        <w:spacing w:line="360" w:lineRule="auto"/>
        <w:ind w:firstLine="480"/>
        <w:rPr>
          <w:bCs/>
          <w:sz w:val="24"/>
        </w:rPr>
      </w:pPr>
      <w:r>
        <w:rPr>
          <w:bCs/>
          <w:sz w:val="24"/>
        </w:rPr>
        <w:t>十</w:t>
      </w:r>
      <w:r>
        <w:rPr>
          <w:rFonts w:hint="eastAsia"/>
          <w:bCs/>
          <w:sz w:val="24"/>
        </w:rPr>
        <w:t>六、</w:t>
      </w:r>
      <w:r>
        <w:rPr>
          <w:bCs/>
          <w:sz w:val="24"/>
        </w:rPr>
        <w:t>基金</w:t>
      </w:r>
      <w:r>
        <w:rPr>
          <w:rFonts w:hint="eastAsia"/>
          <w:bCs/>
          <w:sz w:val="24"/>
        </w:rPr>
        <w:t>份额</w:t>
      </w:r>
      <w:r>
        <w:rPr>
          <w:bCs/>
          <w:sz w:val="24"/>
        </w:rPr>
        <w:t>的冻结</w:t>
      </w:r>
      <w:r>
        <w:rPr>
          <w:rFonts w:hint="eastAsia"/>
          <w:bCs/>
          <w:sz w:val="24"/>
        </w:rPr>
        <w:t>、</w:t>
      </w:r>
      <w:r>
        <w:rPr>
          <w:bCs/>
          <w:sz w:val="24"/>
        </w:rPr>
        <w:t>解冻</w:t>
      </w:r>
      <w:r>
        <w:rPr>
          <w:rFonts w:hint="eastAsia"/>
          <w:bCs/>
          <w:sz w:val="24"/>
        </w:rPr>
        <w:t>及质押</w:t>
      </w:r>
    </w:p>
    <w:p w14:paraId="1096792C" w14:textId="77777777" w:rsidR="007C736D" w:rsidRDefault="00662CFB">
      <w:pPr>
        <w:spacing w:line="360" w:lineRule="auto"/>
        <w:ind w:firstLine="48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基金份额被冻结的，被冻结部分产生的权益一并冻结，被冻结部分份额仍然参与收益分配。法律法规或基金合同另有规定的除外。</w:t>
      </w:r>
    </w:p>
    <w:p w14:paraId="3542DBF9" w14:textId="77777777" w:rsidR="007C736D" w:rsidRDefault="00662CFB">
      <w:pPr>
        <w:spacing w:line="360" w:lineRule="auto"/>
        <w:ind w:firstLine="480"/>
        <w:rPr>
          <w:bCs/>
          <w:sz w:val="24"/>
        </w:rPr>
      </w:pPr>
      <w:r>
        <w:rPr>
          <w:rFonts w:hint="eastAsia"/>
          <w:bCs/>
          <w:sz w:val="24"/>
        </w:rPr>
        <w:t>在对基金份额持有人无实质性不利影响的前提下，履行相关程序后，如相关法律法规允许基金管理人办理基金份额的质押业务或其他基金业务，基金管理人将制定和实施相应的业务规则。</w:t>
      </w:r>
    </w:p>
    <w:p w14:paraId="45553DFE" w14:textId="77777777" w:rsidR="007C736D" w:rsidRDefault="00662CFB">
      <w:pPr>
        <w:spacing w:line="360" w:lineRule="auto"/>
        <w:ind w:firstLine="480"/>
        <w:rPr>
          <w:bCs/>
          <w:sz w:val="24"/>
        </w:rPr>
      </w:pPr>
      <w:r>
        <w:rPr>
          <w:rFonts w:hint="eastAsia"/>
          <w:bCs/>
          <w:sz w:val="24"/>
        </w:rPr>
        <w:t>十七、实施侧袋机制期间本基金的申购与赎回</w:t>
      </w:r>
      <w:r>
        <w:rPr>
          <w:rFonts w:hint="eastAsia"/>
          <w:bCs/>
          <w:sz w:val="24"/>
        </w:rPr>
        <w:t xml:space="preserve"> </w:t>
      </w:r>
    </w:p>
    <w:p w14:paraId="7EFE0E07" w14:textId="77777777" w:rsidR="007C736D" w:rsidRDefault="00662CFB">
      <w:pPr>
        <w:spacing w:line="360" w:lineRule="auto"/>
        <w:ind w:firstLine="480"/>
        <w:rPr>
          <w:bCs/>
          <w:sz w:val="24"/>
        </w:rPr>
      </w:pPr>
      <w:r>
        <w:rPr>
          <w:rFonts w:hint="eastAsia"/>
          <w:bCs/>
          <w:sz w:val="24"/>
        </w:rPr>
        <w:t>本基金实施侧袋机制的，本基金的申购和赎回安排详见招募说明书或相关公告。</w:t>
      </w:r>
    </w:p>
    <w:p w14:paraId="5D0DF013" w14:textId="77777777" w:rsidR="007C736D" w:rsidRDefault="00662CFB">
      <w:pPr>
        <w:pStyle w:val="1110"/>
        <w:spacing w:before="0" w:after="0"/>
        <w:jc w:val="center"/>
        <w:rPr>
          <w:rFonts w:ascii="Times New Roman"/>
          <w:b w:val="0"/>
          <w:color w:val="auto"/>
          <w:sz w:val="30"/>
        </w:rPr>
      </w:pPr>
      <w:r>
        <w:rPr>
          <w:rFonts w:ascii="Times New Roman"/>
          <w:b w:val="0"/>
          <w:color w:val="auto"/>
        </w:rPr>
        <w:br w:type="page"/>
      </w:r>
      <w:bookmarkStart w:id="126" w:name="_Toc141703887"/>
      <w:bookmarkStart w:id="127" w:name="_Toc29251"/>
      <w:bookmarkStart w:id="128" w:name="_Toc139991737"/>
      <w:bookmarkStart w:id="129" w:name="_Toc123102454"/>
      <w:bookmarkStart w:id="130" w:name="_Toc123112235"/>
      <w:bookmarkStart w:id="131" w:name="_Toc3601"/>
      <w:bookmarkStart w:id="132" w:name="_Toc31644"/>
      <w:bookmarkStart w:id="133" w:name="_Toc98560353"/>
      <w:bookmarkStart w:id="134" w:name="_Toc26207"/>
      <w:bookmarkStart w:id="135" w:name="_Toc15143"/>
      <w:bookmarkStart w:id="136" w:name="_Toc14835"/>
      <w:bookmarkStart w:id="137" w:name="_Toc31235"/>
      <w:bookmarkStart w:id="138" w:name="_Toc12245"/>
      <w:bookmarkStart w:id="139" w:name="_Toc31653"/>
      <w:bookmarkStart w:id="140" w:name="_Toc6405"/>
      <w:bookmarkStart w:id="141" w:name="_Toc123051453"/>
      <w:bookmarkStart w:id="142" w:name="_Toc25072216"/>
      <w:bookmarkStart w:id="143" w:name="_Toc136360676"/>
      <w:r>
        <w:rPr>
          <w:rFonts w:ascii="Times New Roman" w:hint="eastAsia"/>
          <w:b w:val="0"/>
          <w:color w:val="auto"/>
          <w:sz w:val="30"/>
        </w:rPr>
        <w:lastRenderedPageBreak/>
        <w:t>第七部分</w:t>
      </w:r>
      <w:r>
        <w:rPr>
          <w:rFonts w:ascii="Times New Roman"/>
          <w:b w:val="0"/>
          <w:color w:val="auto"/>
          <w:sz w:val="30"/>
        </w:rPr>
        <w:t xml:space="preserve">  </w:t>
      </w:r>
      <w:r>
        <w:rPr>
          <w:rFonts w:ascii="Times New Roman" w:hint="eastAsia"/>
          <w:b w:val="0"/>
          <w:color w:val="auto"/>
          <w:sz w:val="30"/>
        </w:rPr>
        <w:t>基金合同当事人及权利义务</w:t>
      </w:r>
      <w:bookmarkStart w:id="144" w:name="_Hlt55355235"/>
      <w:bookmarkStart w:id="145" w:name="_Toc523711668"/>
      <w:bookmarkStart w:id="146" w:name="_Toc57530239"/>
      <w:bookmarkStart w:id="147" w:name="_Toc79392580"/>
      <w:bookmarkStart w:id="148" w:name="_Toc15118234"/>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3B6BB2D5" w14:textId="77777777" w:rsidR="007C736D" w:rsidRDefault="007C736D">
      <w:pPr>
        <w:spacing w:line="360" w:lineRule="auto"/>
        <w:ind w:firstLine="480"/>
        <w:rPr>
          <w:bCs/>
          <w:sz w:val="24"/>
        </w:rPr>
      </w:pPr>
    </w:p>
    <w:p w14:paraId="6C443E42" w14:textId="77777777" w:rsidR="007C736D" w:rsidRDefault="00662CFB">
      <w:pPr>
        <w:spacing w:line="360" w:lineRule="auto"/>
        <w:ind w:firstLine="480"/>
        <w:rPr>
          <w:bCs/>
          <w:sz w:val="24"/>
        </w:rPr>
      </w:pPr>
      <w:r>
        <w:rPr>
          <w:bCs/>
          <w:sz w:val="24"/>
        </w:rPr>
        <w:t>一、基金</w:t>
      </w:r>
      <w:bookmarkEnd w:id="145"/>
      <w:r>
        <w:rPr>
          <w:bCs/>
          <w:sz w:val="24"/>
        </w:rPr>
        <w:t>管理人</w:t>
      </w:r>
      <w:bookmarkEnd w:id="146"/>
      <w:bookmarkEnd w:id="147"/>
      <w:bookmarkEnd w:id="148"/>
    </w:p>
    <w:p w14:paraId="759BEE34" w14:textId="77777777" w:rsidR="007C736D" w:rsidRDefault="00662CFB">
      <w:pPr>
        <w:spacing w:line="360" w:lineRule="auto"/>
        <w:ind w:firstLine="480"/>
        <w:rPr>
          <w:bCs/>
          <w:sz w:val="24"/>
        </w:rPr>
      </w:pPr>
      <w:bookmarkStart w:id="149" w:name="_Toc15118235"/>
      <w:r>
        <w:rPr>
          <w:bCs/>
          <w:sz w:val="24"/>
        </w:rPr>
        <w:t>（一）</w:t>
      </w:r>
      <w:r>
        <w:rPr>
          <w:bCs/>
          <w:sz w:val="24"/>
        </w:rPr>
        <w:tab/>
      </w:r>
      <w:r>
        <w:rPr>
          <w:bCs/>
          <w:sz w:val="24"/>
        </w:rPr>
        <w:t>基金管理人简况</w:t>
      </w:r>
      <w:bookmarkEnd w:id="149"/>
    </w:p>
    <w:p w14:paraId="3F35852B" w14:textId="77777777" w:rsidR="007C736D" w:rsidRDefault="00662CFB">
      <w:pPr>
        <w:spacing w:line="360" w:lineRule="auto"/>
        <w:ind w:firstLine="480"/>
        <w:rPr>
          <w:bCs/>
          <w:sz w:val="24"/>
        </w:rPr>
      </w:pPr>
      <w:bookmarkStart w:id="150" w:name="_Toc15118236"/>
      <w:bookmarkStart w:id="151" w:name="_Toc15118237"/>
      <w:r>
        <w:rPr>
          <w:rFonts w:hint="eastAsia"/>
          <w:bCs/>
          <w:sz w:val="24"/>
        </w:rPr>
        <w:t>名称：</w:t>
      </w:r>
      <w:bookmarkEnd w:id="150"/>
      <w:r>
        <w:rPr>
          <w:rFonts w:hint="eastAsia"/>
          <w:bCs/>
          <w:sz w:val="24"/>
        </w:rPr>
        <w:t>平安基金管理有限公司</w:t>
      </w:r>
    </w:p>
    <w:p w14:paraId="3B0FA135" w14:textId="77777777" w:rsidR="007C736D" w:rsidRDefault="00662CFB">
      <w:pPr>
        <w:spacing w:line="360" w:lineRule="auto"/>
        <w:ind w:firstLine="480"/>
        <w:rPr>
          <w:bCs/>
          <w:sz w:val="24"/>
        </w:rPr>
      </w:pPr>
      <w:r>
        <w:rPr>
          <w:rFonts w:hint="eastAsia"/>
          <w:bCs/>
          <w:sz w:val="24"/>
        </w:rPr>
        <w:t>住所：深圳市福田区福田街道益田路</w:t>
      </w:r>
      <w:r>
        <w:rPr>
          <w:rFonts w:hint="eastAsia"/>
          <w:bCs/>
          <w:sz w:val="24"/>
        </w:rPr>
        <w:t>5033</w:t>
      </w:r>
      <w:r>
        <w:rPr>
          <w:rFonts w:hint="eastAsia"/>
          <w:bCs/>
          <w:sz w:val="24"/>
        </w:rPr>
        <w:t>号平安金融中心</w:t>
      </w:r>
      <w:r>
        <w:rPr>
          <w:rFonts w:hint="eastAsia"/>
          <w:bCs/>
          <w:sz w:val="24"/>
        </w:rPr>
        <w:t>34</w:t>
      </w:r>
      <w:r>
        <w:rPr>
          <w:rFonts w:hint="eastAsia"/>
          <w:bCs/>
          <w:sz w:val="24"/>
        </w:rPr>
        <w:t>层</w:t>
      </w:r>
    </w:p>
    <w:p w14:paraId="54930942" w14:textId="77777777" w:rsidR="007C736D" w:rsidRDefault="00662CFB">
      <w:pPr>
        <w:spacing w:line="360" w:lineRule="auto"/>
        <w:ind w:firstLine="480"/>
        <w:rPr>
          <w:bCs/>
          <w:sz w:val="24"/>
        </w:rPr>
      </w:pPr>
      <w:r>
        <w:rPr>
          <w:rFonts w:hint="eastAsia"/>
          <w:bCs/>
          <w:sz w:val="24"/>
        </w:rPr>
        <w:t>法定代表人：罗春风</w:t>
      </w:r>
    </w:p>
    <w:p w14:paraId="231E6B09" w14:textId="77777777" w:rsidR="007C736D" w:rsidRDefault="00662CFB">
      <w:pPr>
        <w:spacing w:line="360" w:lineRule="auto"/>
        <w:ind w:firstLine="480"/>
        <w:rPr>
          <w:bCs/>
          <w:sz w:val="24"/>
        </w:rPr>
      </w:pPr>
      <w:r>
        <w:rPr>
          <w:rFonts w:hint="eastAsia"/>
          <w:bCs/>
          <w:sz w:val="24"/>
        </w:rPr>
        <w:t>设立日期：</w:t>
      </w:r>
      <w:r>
        <w:rPr>
          <w:rFonts w:hint="eastAsia"/>
          <w:bCs/>
          <w:sz w:val="24"/>
        </w:rPr>
        <w:t>2011</w:t>
      </w:r>
      <w:r>
        <w:rPr>
          <w:rFonts w:hint="eastAsia"/>
          <w:bCs/>
          <w:sz w:val="24"/>
        </w:rPr>
        <w:t>年</w:t>
      </w:r>
      <w:r>
        <w:rPr>
          <w:rFonts w:hint="eastAsia"/>
          <w:bCs/>
          <w:sz w:val="24"/>
        </w:rPr>
        <w:t>1</w:t>
      </w:r>
      <w:r>
        <w:rPr>
          <w:rFonts w:hint="eastAsia"/>
          <w:bCs/>
          <w:sz w:val="24"/>
        </w:rPr>
        <w:t>月</w:t>
      </w:r>
      <w:r>
        <w:rPr>
          <w:rFonts w:hint="eastAsia"/>
          <w:bCs/>
          <w:sz w:val="24"/>
        </w:rPr>
        <w:t>7</w:t>
      </w:r>
      <w:r>
        <w:rPr>
          <w:rFonts w:hint="eastAsia"/>
          <w:bCs/>
          <w:sz w:val="24"/>
        </w:rPr>
        <w:t>日</w:t>
      </w:r>
    </w:p>
    <w:p w14:paraId="6FA569A3" w14:textId="77777777" w:rsidR="007C736D" w:rsidRDefault="00662CFB">
      <w:pPr>
        <w:spacing w:line="360" w:lineRule="auto"/>
        <w:ind w:firstLine="480"/>
        <w:rPr>
          <w:bCs/>
          <w:sz w:val="24"/>
        </w:rPr>
      </w:pPr>
      <w:r>
        <w:rPr>
          <w:rFonts w:hint="eastAsia"/>
          <w:bCs/>
          <w:sz w:val="24"/>
        </w:rPr>
        <w:t>批准设立</w:t>
      </w:r>
      <w:r>
        <w:rPr>
          <w:rFonts w:hint="eastAsia"/>
          <w:bCs/>
          <w:sz w:val="24"/>
        </w:rPr>
        <w:t>机关及批准设立文号：中国证监会</w:t>
      </w:r>
      <w:r>
        <w:rPr>
          <w:rFonts w:hint="eastAsia"/>
          <w:bCs/>
          <w:sz w:val="24"/>
        </w:rPr>
        <w:t xml:space="preserve">  </w:t>
      </w:r>
      <w:r>
        <w:rPr>
          <w:rFonts w:hint="eastAsia"/>
          <w:bCs/>
          <w:sz w:val="24"/>
        </w:rPr>
        <w:t>证监许可</w:t>
      </w:r>
      <w:r>
        <w:rPr>
          <w:rFonts w:ascii="宋体" w:hAnsi="宋体" w:hint="eastAsia"/>
          <w:bCs/>
          <w:sz w:val="24"/>
        </w:rPr>
        <w:t>【</w:t>
      </w:r>
      <w:r>
        <w:rPr>
          <w:rFonts w:hint="eastAsia"/>
          <w:bCs/>
          <w:sz w:val="24"/>
        </w:rPr>
        <w:t>2010</w:t>
      </w:r>
      <w:r>
        <w:rPr>
          <w:rFonts w:ascii="宋体" w:hAnsi="宋体" w:hint="eastAsia"/>
          <w:bCs/>
          <w:sz w:val="24"/>
        </w:rPr>
        <w:t>】</w:t>
      </w:r>
      <w:r>
        <w:rPr>
          <w:rFonts w:hint="eastAsia"/>
          <w:bCs/>
          <w:sz w:val="24"/>
        </w:rPr>
        <w:t>1917</w:t>
      </w:r>
      <w:r>
        <w:rPr>
          <w:rFonts w:hint="eastAsia"/>
          <w:bCs/>
          <w:sz w:val="24"/>
        </w:rPr>
        <w:t>号</w:t>
      </w:r>
    </w:p>
    <w:p w14:paraId="5B15EF9D" w14:textId="77777777" w:rsidR="007C736D" w:rsidRDefault="00662CFB">
      <w:pPr>
        <w:spacing w:line="360" w:lineRule="auto"/>
        <w:ind w:firstLine="480"/>
        <w:rPr>
          <w:bCs/>
          <w:sz w:val="24"/>
        </w:rPr>
      </w:pPr>
      <w:r>
        <w:rPr>
          <w:rFonts w:hint="eastAsia"/>
          <w:bCs/>
          <w:sz w:val="24"/>
        </w:rPr>
        <w:t>组织形式：有限责任公司（中外合资）</w:t>
      </w:r>
    </w:p>
    <w:p w14:paraId="206F68FB" w14:textId="77777777" w:rsidR="007C736D" w:rsidRDefault="00662CFB">
      <w:pPr>
        <w:spacing w:line="360" w:lineRule="auto"/>
        <w:ind w:firstLine="480"/>
        <w:rPr>
          <w:bCs/>
          <w:sz w:val="24"/>
        </w:rPr>
      </w:pPr>
      <w:r>
        <w:rPr>
          <w:rFonts w:hint="eastAsia"/>
          <w:bCs/>
          <w:sz w:val="24"/>
        </w:rPr>
        <w:t>注册资本：人民币</w:t>
      </w:r>
      <w:r>
        <w:rPr>
          <w:rFonts w:hint="eastAsia"/>
          <w:bCs/>
          <w:sz w:val="24"/>
        </w:rPr>
        <w:t>130,000</w:t>
      </w:r>
      <w:r>
        <w:rPr>
          <w:rFonts w:hint="eastAsia"/>
          <w:bCs/>
          <w:sz w:val="24"/>
        </w:rPr>
        <w:t>万元</w:t>
      </w:r>
    </w:p>
    <w:p w14:paraId="74BDE94B" w14:textId="77777777" w:rsidR="007C736D" w:rsidRDefault="00662CFB">
      <w:pPr>
        <w:spacing w:line="360" w:lineRule="auto"/>
        <w:ind w:firstLine="480"/>
        <w:rPr>
          <w:bCs/>
          <w:sz w:val="24"/>
        </w:rPr>
      </w:pPr>
      <w:r>
        <w:rPr>
          <w:rFonts w:hint="eastAsia"/>
          <w:bCs/>
          <w:sz w:val="24"/>
        </w:rPr>
        <w:t>存续期限：持续经营</w:t>
      </w:r>
    </w:p>
    <w:p w14:paraId="4CED8821" w14:textId="77777777" w:rsidR="007C736D" w:rsidRDefault="00662CFB">
      <w:pPr>
        <w:spacing w:line="360" w:lineRule="auto"/>
        <w:ind w:firstLine="480"/>
        <w:rPr>
          <w:bCs/>
          <w:sz w:val="24"/>
        </w:rPr>
      </w:pPr>
      <w:r>
        <w:rPr>
          <w:rFonts w:hint="eastAsia"/>
          <w:bCs/>
          <w:sz w:val="24"/>
        </w:rPr>
        <w:t>联系电话：</w:t>
      </w:r>
      <w:r>
        <w:rPr>
          <w:bCs/>
          <w:sz w:val="24"/>
        </w:rPr>
        <w:t>0755-22623179</w:t>
      </w:r>
    </w:p>
    <w:p w14:paraId="5B6D8529" w14:textId="77777777" w:rsidR="007C736D" w:rsidRDefault="00662CFB">
      <w:pPr>
        <w:spacing w:line="360" w:lineRule="auto"/>
        <w:ind w:firstLine="480"/>
        <w:rPr>
          <w:bCs/>
          <w:sz w:val="24"/>
        </w:rPr>
      </w:pPr>
      <w:r>
        <w:rPr>
          <w:bCs/>
          <w:sz w:val="24"/>
        </w:rPr>
        <w:t>（二）</w:t>
      </w:r>
      <w:r>
        <w:rPr>
          <w:bCs/>
          <w:sz w:val="24"/>
        </w:rPr>
        <w:tab/>
      </w:r>
      <w:r>
        <w:rPr>
          <w:bCs/>
          <w:sz w:val="24"/>
        </w:rPr>
        <w:t>基金管理人的权利与义务</w:t>
      </w:r>
      <w:bookmarkEnd w:id="151"/>
    </w:p>
    <w:p w14:paraId="0B307576" w14:textId="77777777" w:rsidR="007C736D" w:rsidRDefault="00662CFB">
      <w:pPr>
        <w:spacing w:line="360" w:lineRule="auto"/>
        <w:ind w:firstLine="480"/>
        <w:rPr>
          <w:bCs/>
          <w:sz w:val="24"/>
        </w:rPr>
      </w:pPr>
      <w:r>
        <w:rPr>
          <w:bCs/>
          <w:sz w:val="24"/>
        </w:rPr>
        <w:t>1</w:t>
      </w:r>
      <w:r>
        <w:rPr>
          <w:bCs/>
          <w:sz w:val="24"/>
        </w:rPr>
        <w:t>、根据《基金法》、《运作办法》及其他有关规定，基金管理人的权利包括但不限于：</w:t>
      </w:r>
    </w:p>
    <w:p w14:paraId="722A9599" w14:textId="77777777" w:rsidR="007C736D" w:rsidRDefault="00662CFB">
      <w:pPr>
        <w:spacing w:line="360" w:lineRule="auto"/>
        <w:ind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3D462725" w14:textId="77777777" w:rsidR="007C736D" w:rsidRDefault="00662CFB">
      <w:pPr>
        <w:spacing w:line="360" w:lineRule="auto"/>
        <w:ind w:firstLine="480"/>
        <w:rPr>
          <w:bCs/>
          <w:sz w:val="24"/>
        </w:rPr>
      </w:pPr>
      <w:r>
        <w:rPr>
          <w:bCs/>
          <w:sz w:val="24"/>
        </w:rPr>
        <w:t>（</w:t>
      </w:r>
      <w:r>
        <w:rPr>
          <w:bCs/>
          <w:sz w:val="24"/>
        </w:rPr>
        <w:t>2</w:t>
      </w:r>
      <w:r>
        <w:rPr>
          <w:bCs/>
          <w:sz w:val="24"/>
        </w:rPr>
        <w:t>）自《基金合同》生效之日起，根据法律法规和《基金合同》独立运用并管理基金财产；</w:t>
      </w:r>
    </w:p>
    <w:p w14:paraId="62FCBFC5" w14:textId="77777777" w:rsidR="007C736D" w:rsidRDefault="00662CFB">
      <w:pPr>
        <w:spacing w:line="360" w:lineRule="auto"/>
        <w:ind w:firstLine="480"/>
        <w:rPr>
          <w:bCs/>
          <w:sz w:val="24"/>
        </w:rPr>
      </w:pPr>
      <w:r>
        <w:rPr>
          <w:bCs/>
          <w:sz w:val="24"/>
        </w:rPr>
        <w:t>（</w:t>
      </w:r>
      <w:r>
        <w:rPr>
          <w:bCs/>
          <w:sz w:val="24"/>
        </w:rPr>
        <w:t>3</w:t>
      </w:r>
      <w:r>
        <w:rPr>
          <w:bCs/>
          <w:sz w:val="24"/>
        </w:rPr>
        <w:t>）依照《基金合同》收取基金管理费以及法律法规规定或中国证监会批准的其他费用；</w:t>
      </w:r>
    </w:p>
    <w:p w14:paraId="0EB9BE94" w14:textId="77777777" w:rsidR="007C736D" w:rsidRDefault="00662CFB">
      <w:pPr>
        <w:spacing w:line="360" w:lineRule="auto"/>
        <w:ind w:firstLine="480"/>
        <w:rPr>
          <w:bCs/>
          <w:sz w:val="24"/>
        </w:rPr>
      </w:pPr>
      <w:r>
        <w:rPr>
          <w:bCs/>
          <w:sz w:val="24"/>
        </w:rPr>
        <w:t>（</w:t>
      </w:r>
      <w:r>
        <w:rPr>
          <w:bCs/>
          <w:sz w:val="24"/>
        </w:rPr>
        <w:t>4</w:t>
      </w:r>
      <w:r>
        <w:rPr>
          <w:bCs/>
          <w:sz w:val="24"/>
        </w:rPr>
        <w:t>）销售基金份</w:t>
      </w:r>
      <w:r>
        <w:rPr>
          <w:bCs/>
          <w:sz w:val="24"/>
        </w:rPr>
        <w:t>额；</w:t>
      </w:r>
    </w:p>
    <w:p w14:paraId="186E6546" w14:textId="77777777" w:rsidR="007C736D" w:rsidRDefault="00662CFB">
      <w:pPr>
        <w:spacing w:line="360" w:lineRule="auto"/>
        <w:ind w:firstLine="480"/>
        <w:rPr>
          <w:bCs/>
          <w:sz w:val="24"/>
        </w:rPr>
      </w:pPr>
      <w:r>
        <w:rPr>
          <w:bCs/>
          <w:sz w:val="24"/>
        </w:rPr>
        <w:t>（</w:t>
      </w:r>
      <w:r>
        <w:rPr>
          <w:bCs/>
          <w:sz w:val="24"/>
        </w:rPr>
        <w:t>5</w:t>
      </w:r>
      <w:r>
        <w:rPr>
          <w:bCs/>
          <w:sz w:val="24"/>
        </w:rPr>
        <w:t>）</w:t>
      </w:r>
      <w:bookmarkStart w:id="152" w:name="_Hlt88896155"/>
      <w:r>
        <w:rPr>
          <w:rFonts w:hint="eastAsia"/>
          <w:bCs/>
          <w:sz w:val="24"/>
        </w:rPr>
        <w:t>按照规定</w:t>
      </w:r>
      <w:r>
        <w:rPr>
          <w:bCs/>
          <w:sz w:val="24"/>
        </w:rPr>
        <w:t>召集</w:t>
      </w:r>
      <w:bookmarkEnd w:id="152"/>
      <w:r>
        <w:rPr>
          <w:bCs/>
          <w:sz w:val="24"/>
        </w:rPr>
        <w:t>基金份额持有人大会；</w:t>
      </w:r>
    </w:p>
    <w:p w14:paraId="64364286" w14:textId="77777777" w:rsidR="007C736D" w:rsidRDefault="00662CFB">
      <w:pPr>
        <w:spacing w:line="360" w:lineRule="auto"/>
        <w:ind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728BAAA1" w14:textId="77777777" w:rsidR="007C736D" w:rsidRDefault="00662CFB">
      <w:pPr>
        <w:spacing w:line="360" w:lineRule="auto"/>
        <w:ind w:firstLine="480"/>
        <w:rPr>
          <w:bCs/>
          <w:sz w:val="24"/>
        </w:rPr>
      </w:pPr>
      <w:r>
        <w:rPr>
          <w:bCs/>
          <w:sz w:val="24"/>
        </w:rPr>
        <w:t>（</w:t>
      </w:r>
      <w:r>
        <w:rPr>
          <w:bCs/>
          <w:sz w:val="24"/>
        </w:rPr>
        <w:t>7</w:t>
      </w:r>
      <w:r>
        <w:rPr>
          <w:bCs/>
          <w:sz w:val="24"/>
        </w:rPr>
        <w:t>）在基金托管人更换时，提名新的基金托管人；</w:t>
      </w:r>
    </w:p>
    <w:p w14:paraId="10B99FB5" w14:textId="77777777" w:rsidR="007C736D" w:rsidRDefault="00662CFB">
      <w:pPr>
        <w:spacing w:line="440" w:lineRule="atLeast"/>
        <w:ind w:firstLine="480"/>
        <w:rPr>
          <w:bCs/>
          <w:sz w:val="24"/>
        </w:rPr>
      </w:pPr>
      <w:r>
        <w:rPr>
          <w:bCs/>
          <w:sz w:val="24"/>
        </w:rPr>
        <w:t>（</w:t>
      </w:r>
      <w:r>
        <w:rPr>
          <w:bCs/>
          <w:sz w:val="24"/>
        </w:rPr>
        <w:t>8</w:t>
      </w:r>
      <w:r>
        <w:rPr>
          <w:bCs/>
          <w:sz w:val="24"/>
        </w:rPr>
        <w:t>）选择、更换基金销售机构，对基金销售机构的相关行为进行监督和处理；</w:t>
      </w:r>
    </w:p>
    <w:p w14:paraId="412778E5" w14:textId="77777777" w:rsidR="007C736D" w:rsidRDefault="00662CFB">
      <w:pPr>
        <w:spacing w:line="440" w:lineRule="atLeast"/>
        <w:ind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p>
    <w:p w14:paraId="0457AFAC" w14:textId="77777777" w:rsidR="007C736D" w:rsidRDefault="00662CFB">
      <w:pPr>
        <w:spacing w:line="440" w:lineRule="atLeast"/>
        <w:ind w:firstLine="480"/>
        <w:rPr>
          <w:bCs/>
          <w:sz w:val="24"/>
        </w:rPr>
      </w:pPr>
      <w:r>
        <w:rPr>
          <w:bCs/>
          <w:sz w:val="24"/>
        </w:rPr>
        <w:t>（</w:t>
      </w:r>
      <w:r>
        <w:rPr>
          <w:bCs/>
          <w:sz w:val="24"/>
        </w:rPr>
        <w:t>10</w:t>
      </w:r>
      <w:r>
        <w:rPr>
          <w:bCs/>
          <w:sz w:val="24"/>
        </w:rPr>
        <w:t>）依据《基金合同》及有关法律规定决定基金收益的分配方案；</w:t>
      </w:r>
    </w:p>
    <w:p w14:paraId="3EB449E3" w14:textId="77777777" w:rsidR="007C736D" w:rsidRDefault="00662CFB">
      <w:pPr>
        <w:spacing w:line="440" w:lineRule="atLeast"/>
        <w:ind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与</w:t>
      </w:r>
      <w:r>
        <w:rPr>
          <w:bCs/>
          <w:sz w:val="24"/>
        </w:rPr>
        <w:t>转换申请；</w:t>
      </w:r>
    </w:p>
    <w:p w14:paraId="37EC705E" w14:textId="77777777" w:rsidR="007C736D" w:rsidRDefault="00662CFB">
      <w:pPr>
        <w:spacing w:line="440" w:lineRule="atLeast"/>
        <w:ind w:firstLine="480"/>
        <w:rPr>
          <w:bCs/>
          <w:sz w:val="24"/>
        </w:rPr>
      </w:pPr>
      <w:r>
        <w:rPr>
          <w:bCs/>
          <w:sz w:val="24"/>
        </w:rPr>
        <w:t>（</w:t>
      </w:r>
      <w:r>
        <w:rPr>
          <w:bCs/>
          <w:sz w:val="24"/>
        </w:rPr>
        <w:t>12</w:t>
      </w:r>
      <w:r>
        <w:rPr>
          <w:bCs/>
          <w:sz w:val="24"/>
        </w:rPr>
        <w:t>）</w:t>
      </w:r>
      <w:r>
        <w:rPr>
          <w:rFonts w:hint="eastAsia"/>
          <w:bCs/>
          <w:sz w:val="24"/>
        </w:rPr>
        <w:t>依照法律法规为基金的利益对被投资公司行使股东权利，为基金的利益行使因基金财产投资于证券所产生的权利</w:t>
      </w:r>
      <w:r>
        <w:rPr>
          <w:bCs/>
          <w:sz w:val="24"/>
        </w:rPr>
        <w:t>；</w:t>
      </w:r>
    </w:p>
    <w:p w14:paraId="2C2C7872" w14:textId="77777777" w:rsidR="007C736D" w:rsidRDefault="00662CFB">
      <w:pPr>
        <w:spacing w:line="440" w:lineRule="atLeast"/>
        <w:ind w:firstLine="480"/>
        <w:rPr>
          <w:bCs/>
          <w:sz w:val="24"/>
        </w:rPr>
      </w:pPr>
      <w:r>
        <w:rPr>
          <w:bCs/>
          <w:sz w:val="24"/>
        </w:rPr>
        <w:t>（</w:t>
      </w:r>
      <w:r>
        <w:rPr>
          <w:bCs/>
          <w:sz w:val="24"/>
        </w:rPr>
        <w:t>13</w:t>
      </w:r>
      <w:r>
        <w:rPr>
          <w:bCs/>
          <w:sz w:val="24"/>
        </w:rPr>
        <w:t>）</w:t>
      </w:r>
      <w:r>
        <w:rPr>
          <w:rFonts w:hint="eastAsia"/>
          <w:bCs/>
          <w:sz w:val="24"/>
        </w:rPr>
        <w:t>在法律法规允许的前提下，为基金的利益依法为基金进行融资</w:t>
      </w:r>
      <w:r>
        <w:rPr>
          <w:bCs/>
          <w:sz w:val="24"/>
        </w:rPr>
        <w:t>；</w:t>
      </w:r>
      <w:r>
        <w:rPr>
          <w:bCs/>
          <w:sz w:val="24"/>
        </w:rPr>
        <w:tab/>
      </w:r>
    </w:p>
    <w:p w14:paraId="2FCD6234" w14:textId="77777777" w:rsidR="007C736D" w:rsidRDefault="00662CFB">
      <w:pPr>
        <w:spacing w:line="440" w:lineRule="atLeast"/>
        <w:ind w:firstLine="480"/>
        <w:rPr>
          <w:bCs/>
          <w:sz w:val="24"/>
        </w:rPr>
      </w:pPr>
      <w:r>
        <w:rPr>
          <w:bCs/>
          <w:sz w:val="24"/>
        </w:rPr>
        <w:t>（</w:t>
      </w:r>
      <w:r>
        <w:rPr>
          <w:bCs/>
          <w:sz w:val="24"/>
        </w:rPr>
        <w:t>1</w:t>
      </w:r>
      <w:r>
        <w:rPr>
          <w:rFonts w:hint="eastAsia"/>
          <w:bCs/>
          <w:sz w:val="24"/>
        </w:rPr>
        <w:t>4</w:t>
      </w:r>
      <w:r>
        <w:rPr>
          <w:bCs/>
          <w:sz w:val="24"/>
        </w:rPr>
        <w:t>）</w:t>
      </w:r>
      <w:r>
        <w:rPr>
          <w:rFonts w:hint="eastAsia"/>
          <w:bCs/>
          <w:sz w:val="24"/>
        </w:rPr>
        <w:t>以基金管理人的名义，代表基金份额持有人的利益行使诉讼权利或者实施其他法律行为</w:t>
      </w:r>
      <w:r>
        <w:rPr>
          <w:bCs/>
          <w:sz w:val="24"/>
        </w:rPr>
        <w:t>；</w:t>
      </w:r>
    </w:p>
    <w:p w14:paraId="459AEF93" w14:textId="77777777" w:rsidR="007C736D" w:rsidRDefault="00662CFB">
      <w:pPr>
        <w:spacing w:line="440" w:lineRule="atLeast"/>
        <w:ind w:firstLine="480"/>
        <w:rPr>
          <w:bCs/>
          <w:sz w:val="24"/>
        </w:rPr>
      </w:pPr>
      <w:r>
        <w:rPr>
          <w:bCs/>
          <w:sz w:val="24"/>
        </w:rPr>
        <w:t>（</w:t>
      </w:r>
      <w:r>
        <w:rPr>
          <w:bCs/>
          <w:sz w:val="24"/>
        </w:rPr>
        <w:t>1</w:t>
      </w:r>
      <w:r>
        <w:rPr>
          <w:rFonts w:hint="eastAsia"/>
          <w:bCs/>
          <w:sz w:val="24"/>
        </w:rPr>
        <w:t>5</w:t>
      </w:r>
      <w:r>
        <w:rPr>
          <w:bCs/>
          <w:sz w:val="24"/>
        </w:rPr>
        <w:t>）</w:t>
      </w:r>
      <w:r>
        <w:rPr>
          <w:rFonts w:hint="eastAsia"/>
          <w:bCs/>
          <w:sz w:val="24"/>
        </w:rPr>
        <w:t>选择、更换律师事务所、会计师事务所、证券、期货经纪商或其他为基金提供服务的外部机构</w:t>
      </w:r>
      <w:r>
        <w:rPr>
          <w:bCs/>
          <w:sz w:val="24"/>
        </w:rPr>
        <w:t>；</w:t>
      </w:r>
    </w:p>
    <w:p w14:paraId="5D8076E5" w14:textId="77777777" w:rsidR="007C736D" w:rsidRDefault="00662CFB">
      <w:pPr>
        <w:spacing w:line="440" w:lineRule="atLeast"/>
        <w:ind w:firstLine="480"/>
        <w:rPr>
          <w:bCs/>
          <w:sz w:val="24"/>
        </w:rPr>
      </w:pPr>
      <w:r>
        <w:rPr>
          <w:bCs/>
          <w:sz w:val="24"/>
        </w:rPr>
        <w:t>（</w:t>
      </w:r>
      <w:r>
        <w:rPr>
          <w:bCs/>
          <w:sz w:val="24"/>
        </w:rPr>
        <w:t>1</w:t>
      </w:r>
      <w:r>
        <w:rPr>
          <w:rFonts w:hint="eastAsia"/>
          <w:bCs/>
          <w:sz w:val="24"/>
        </w:rPr>
        <w:t>6</w:t>
      </w:r>
      <w:r>
        <w:rPr>
          <w:bCs/>
          <w:sz w:val="24"/>
        </w:rPr>
        <w:t>）</w:t>
      </w:r>
      <w:r>
        <w:rPr>
          <w:rFonts w:hint="eastAsia"/>
          <w:bCs/>
          <w:sz w:val="24"/>
        </w:rPr>
        <w:t>在符合有关法律、法规的前提下，制订和调整有关基金认购、申购、赎回、转换</w:t>
      </w:r>
      <w:r>
        <w:rPr>
          <w:rFonts w:hint="eastAsia"/>
          <w:bCs/>
          <w:sz w:val="24"/>
        </w:rPr>
        <w:t>、定期定额投资、转托管和非交易过户等业务规则；</w:t>
      </w:r>
    </w:p>
    <w:p w14:paraId="49D9AF57" w14:textId="77777777" w:rsidR="007C736D" w:rsidRDefault="00662CFB">
      <w:pPr>
        <w:spacing w:line="440" w:lineRule="atLeast"/>
        <w:ind w:firstLine="480"/>
        <w:rPr>
          <w:bCs/>
          <w:sz w:val="24"/>
        </w:rPr>
      </w:pPr>
      <w:r>
        <w:rPr>
          <w:rFonts w:hint="eastAsia"/>
          <w:bCs/>
          <w:sz w:val="24"/>
        </w:rPr>
        <w:t>（</w:t>
      </w:r>
      <w:r>
        <w:rPr>
          <w:rFonts w:hint="eastAsia"/>
          <w:bCs/>
          <w:sz w:val="24"/>
        </w:rPr>
        <w:t>17</w:t>
      </w:r>
      <w:r>
        <w:rPr>
          <w:rFonts w:hint="eastAsia"/>
          <w:bCs/>
          <w:sz w:val="24"/>
        </w:rPr>
        <w:t>）法律法规及中国证监会规定的和《基金合同》约定的其他权利。</w:t>
      </w:r>
    </w:p>
    <w:p w14:paraId="14D3519B" w14:textId="77777777" w:rsidR="007C736D" w:rsidRDefault="00662CFB">
      <w:pPr>
        <w:spacing w:line="440" w:lineRule="atLeast"/>
        <w:ind w:firstLine="480"/>
        <w:rPr>
          <w:bCs/>
          <w:sz w:val="24"/>
        </w:rPr>
      </w:pPr>
      <w:r>
        <w:rPr>
          <w:bCs/>
          <w:sz w:val="24"/>
        </w:rPr>
        <w:t>2</w:t>
      </w:r>
      <w:r>
        <w:rPr>
          <w:bCs/>
          <w:sz w:val="24"/>
        </w:rPr>
        <w:t>、根据《基金法》、《运作办法》及其他有关规定，基金管理人的义务包括但不限于：</w:t>
      </w:r>
    </w:p>
    <w:p w14:paraId="2548E26E" w14:textId="77777777" w:rsidR="007C736D" w:rsidRDefault="00662CFB">
      <w:pPr>
        <w:spacing w:line="440" w:lineRule="atLeast"/>
        <w:ind w:firstLine="480"/>
        <w:rPr>
          <w:bCs/>
          <w:sz w:val="24"/>
        </w:rPr>
      </w:pPr>
      <w:bookmarkStart w:id="153"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15A67706" w14:textId="77777777" w:rsidR="007C736D" w:rsidRDefault="00662CFB">
      <w:pPr>
        <w:spacing w:line="440" w:lineRule="atLeast"/>
        <w:ind w:firstLine="480"/>
        <w:rPr>
          <w:bCs/>
          <w:sz w:val="24"/>
        </w:rPr>
      </w:pPr>
      <w:r>
        <w:rPr>
          <w:bCs/>
          <w:sz w:val="24"/>
        </w:rPr>
        <w:t>（</w:t>
      </w:r>
      <w:r>
        <w:rPr>
          <w:bCs/>
          <w:sz w:val="24"/>
        </w:rPr>
        <w:t>2</w:t>
      </w:r>
      <w:r>
        <w:rPr>
          <w:bCs/>
          <w:sz w:val="24"/>
        </w:rPr>
        <w:t>）办理基金备案手续；</w:t>
      </w:r>
    </w:p>
    <w:p w14:paraId="13CD01C1" w14:textId="77777777" w:rsidR="007C736D" w:rsidRDefault="00662CFB">
      <w:pPr>
        <w:spacing w:line="440" w:lineRule="atLeast"/>
        <w:ind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5AD5783D" w14:textId="77777777" w:rsidR="007C736D" w:rsidRDefault="00662CFB">
      <w:pPr>
        <w:spacing w:line="440" w:lineRule="atLeast"/>
        <w:ind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1B0B187D" w14:textId="77777777" w:rsidR="007C736D" w:rsidRDefault="00662CFB">
      <w:pPr>
        <w:spacing w:line="440" w:lineRule="atLeast"/>
        <w:ind w:firstLine="480"/>
        <w:rPr>
          <w:bCs/>
          <w:sz w:val="24"/>
        </w:rPr>
      </w:pPr>
      <w:r>
        <w:rPr>
          <w:bCs/>
          <w:sz w:val="24"/>
        </w:rPr>
        <w:t>（</w:t>
      </w:r>
      <w:r>
        <w:rPr>
          <w:bCs/>
          <w:sz w:val="24"/>
        </w:rPr>
        <w:t>5</w:t>
      </w:r>
      <w:r>
        <w:rPr>
          <w:bCs/>
          <w:sz w:val="24"/>
        </w:rPr>
        <w:t>）建</w:t>
      </w:r>
      <w:r>
        <w:rPr>
          <w:bCs/>
          <w:sz w:val="24"/>
        </w:rPr>
        <w:t>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1D4F3658" w14:textId="77777777" w:rsidR="007C736D" w:rsidRDefault="00662CFB">
      <w:pPr>
        <w:spacing w:line="360" w:lineRule="auto"/>
        <w:ind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54" w:name="_Hlt88897298"/>
      <w:bookmarkEnd w:id="154"/>
    </w:p>
    <w:p w14:paraId="11C40E62" w14:textId="77777777" w:rsidR="007C736D" w:rsidRDefault="00662CFB">
      <w:pPr>
        <w:spacing w:line="360" w:lineRule="auto"/>
        <w:ind w:firstLine="480"/>
        <w:rPr>
          <w:bCs/>
          <w:sz w:val="24"/>
        </w:rPr>
      </w:pPr>
      <w:r>
        <w:rPr>
          <w:bCs/>
          <w:sz w:val="24"/>
        </w:rPr>
        <w:t>（</w:t>
      </w:r>
      <w:r>
        <w:rPr>
          <w:bCs/>
          <w:sz w:val="24"/>
        </w:rPr>
        <w:t>7</w:t>
      </w:r>
      <w:r>
        <w:rPr>
          <w:bCs/>
          <w:sz w:val="24"/>
        </w:rPr>
        <w:t>）依法接受基金托管人的监督；</w:t>
      </w:r>
    </w:p>
    <w:p w14:paraId="2235E497" w14:textId="77777777" w:rsidR="007C736D" w:rsidRDefault="00662CFB">
      <w:pPr>
        <w:spacing w:line="360" w:lineRule="auto"/>
        <w:ind w:firstLine="480"/>
        <w:rPr>
          <w:bCs/>
          <w:sz w:val="24"/>
        </w:rPr>
      </w:pPr>
      <w:r>
        <w:rPr>
          <w:bCs/>
          <w:sz w:val="24"/>
        </w:rPr>
        <w:t>（</w:t>
      </w:r>
      <w:r>
        <w:rPr>
          <w:bCs/>
          <w:sz w:val="24"/>
        </w:rPr>
        <w:t>8</w:t>
      </w:r>
      <w:r>
        <w:rPr>
          <w:bCs/>
          <w:sz w:val="24"/>
        </w:rPr>
        <w:t>）采取适当合理的措施使计算基金份额认购、申购、赎回和注销价格的</w:t>
      </w:r>
      <w:r>
        <w:rPr>
          <w:bCs/>
          <w:sz w:val="24"/>
        </w:rPr>
        <w:lastRenderedPageBreak/>
        <w:t>方法符合《基金合同》等法律文件的规定，按有关规定计算并</w:t>
      </w:r>
      <w:r>
        <w:rPr>
          <w:rFonts w:hint="eastAsia"/>
          <w:bCs/>
          <w:sz w:val="24"/>
        </w:rPr>
        <w:t>公告</w:t>
      </w:r>
      <w:r>
        <w:rPr>
          <w:bCs/>
          <w:sz w:val="24"/>
        </w:rPr>
        <w:t>基金净值</w:t>
      </w:r>
      <w:r>
        <w:rPr>
          <w:rFonts w:hint="eastAsia"/>
          <w:bCs/>
          <w:sz w:val="24"/>
        </w:rPr>
        <w:t>信息</w:t>
      </w:r>
      <w:r>
        <w:rPr>
          <w:bCs/>
          <w:sz w:val="24"/>
        </w:rPr>
        <w:t>，确定基金份额申购、赎回的价格；</w:t>
      </w:r>
    </w:p>
    <w:p w14:paraId="5778C1D3" w14:textId="77777777" w:rsidR="007C736D" w:rsidRDefault="00662CFB">
      <w:pPr>
        <w:spacing w:line="360" w:lineRule="auto"/>
        <w:ind w:firstLine="480"/>
        <w:rPr>
          <w:bCs/>
          <w:sz w:val="24"/>
        </w:rPr>
      </w:pPr>
      <w:r>
        <w:rPr>
          <w:bCs/>
          <w:sz w:val="24"/>
        </w:rPr>
        <w:t>（</w:t>
      </w:r>
      <w:r>
        <w:rPr>
          <w:bCs/>
          <w:sz w:val="24"/>
        </w:rPr>
        <w:t>9</w:t>
      </w:r>
      <w:r>
        <w:rPr>
          <w:bCs/>
          <w:sz w:val="24"/>
        </w:rPr>
        <w:t>）进行基金会计核</w:t>
      </w:r>
      <w:r>
        <w:rPr>
          <w:bCs/>
          <w:sz w:val="24"/>
        </w:rPr>
        <w:t>算并编制基金财务会计报告；</w:t>
      </w:r>
    </w:p>
    <w:p w14:paraId="16F9B039" w14:textId="77777777" w:rsidR="007C736D" w:rsidRDefault="00662CFB">
      <w:pPr>
        <w:spacing w:line="360" w:lineRule="auto"/>
        <w:ind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p>
    <w:p w14:paraId="45E101DD" w14:textId="77777777" w:rsidR="007C736D" w:rsidRDefault="00662CFB">
      <w:pPr>
        <w:spacing w:line="360" w:lineRule="auto"/>
        <w:ind w:firstLine="480"/>
        <w:rPr>
          <w:bCs/>
          <w:sz w:val="24"/>
        </w:rPr>
      </w:pPr>
      <w:r>
        <w:rPr>
          <w:bCs/>
          <w:sz w:val="24"/>
        </w:rPr>
        <w:t>（</w:t>
      </w:r>
      <w:r>
        <w:rPr>
          <w:bCs/>
          <w:sz w:val="24"/>
        </w:rPr>
        <w:t>11</w:t>
      </w:r>
      <w:r>
        <w:rPr>
          <w:bCs/>
          <w:sz w:val="24"/>
        </w:rPr>
        <w:t>）严格按照《基金法》、《基金合同》及其他有关规定，履行信息披露及报告义务；</w:t>
      </w:r>
    </w:p>
    <w:p w14:paraId="6B9533C5" w14:textId="77777777" w:rsidR="007C736D" w:rsidRDefault="00662CFB">
      <w:pPr>
        <w:spacing w:line="360" w:lineRule="auto"/>
        <w:ind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，但应监管机构、司法机关等有权机关的要求，或因审计、法律等外部专业顾问提供服务需要提供的情况除外</w:t>
      </w:r>
      <w:r>
        <w:rPr>
          <w:bCs/>
          <w:sz w:val="24"/>
        </w:rPr>
        <w:t>；</w:t>
      </w:r>
    </w:p>
    <w:p w14:paraId="6DAD6F31" w14:textId="77777777" w:rsidR="007C736D" w:rsidRDefault="00662CFB">
      <w:pPr>
        <w:spacing w:line="360" w:lineRule="auto"/>
        <w:ind w:firstLine="480"/>
        <w:rPr>
          <w:bCs/>
          <w:sz w:val="24"/>
        </w:rPr>
      </w:pPr>
      <w:r>
        <w:rPr>
          <w:bCs/>
          <w:sz w:val="24"/>
        </w:rPr>
        <w:t>（</w:t>
      </w:r>
      <w:r>
        <w:rPr>
          <w:bCs/>
          <w:sz w:val="24"/>
        </w:rPr>
        <w:t>13</w:t>
      </w:r>
      <w:r>
        <w:rPr>
          <w:bCs/>
          <w:sz w:val="24"/>
        </w:rPr>
        <w:t>）按《基金合同》的约定确定基金收益分配方案，及时向基金份额持有人分配基金收益；</w:t>
      </w:r>
    </w:p>
    <w:p w14:paraId="66850341" w14:textId="77777777" w:rsidR="007C736D" w:rsidRDefault="00662CFB">
      <w:pPr>
        <w:spacing w:line="360" w:lineRule="auto"/>
        <w:ind w:firstLine="480"/>
        <w:rPr>
          <w:bCs/>
          <w:sz w:val="24"/>
        </w:rPr>
      </w:pPr>
      <w:r>
        <w:rPr>
          <w:bCs/>
          <w:sz w:val="24"/>
        </w:rPr>
        <w:t>（</w:t>
      </w:r>
      <w:r>
        <w:rPr>
          <w:bCs/>
          <w:sz w:val="24"/>
        </w:rPr>
        <w:t>14</w:t>
      </w:r>
      <w:r>
        <w:rPr>
          <w:bCs/>
          <w:sz w:val="24"/>
        </w:rPr>
        <w:t>）按规定受理申</w:t>
      </w:r>
      <w:r>
        <w:rPr>
          <w:bCs/>
          <w:sz w:val="24"/>
        </w:rPr>
        <w:t>购与赎回申请，及时、足额支付赎回款项；</w:t>
      </w:r>
    </w:p>
    <w:p w14:paraId="75DEE549" w14:textId="77777777" w:rsidR="007C736D" w:rsidRDefault="00662CFB">
      <w:pPr>
        <w:spacing w:line="360" w:lineRule="auto"/>
        <w:ind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06668B9A" w14:textId="77777777" w:rsidR="007C736D" w:rsidRDefault="00662CFB">
      <w:pPr>
        <w:spacing w:line="360" w:lineRule="auto"/>
        <w:ind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保存期限不低于法律法规规定的最低期限</w:t>
      </w:r>
      <w:r>
        <w:rPr>
          <w:bCs/>
          <w:sz w:val="24"/>
        </w:rPr>
        <w:t>；</w:t>
      </w:r>
    </w:p>
    <w:p w14:paraId="2C1B1FD0" w14:textId="77777777" w:rsidR="007C736D" w:rsidRDefault="00662CFB">
      <w:pPr>
        <w:spacing w:line="360" w:lineRule="auto"/>
        <w:ind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9F63D05" w14:textId="77777777" w:rsidR="007C736D" w:rsidRDefault="00662CFB">
      <w:pPr>
        <w:spacing w:line="360" w:lineRule="auto"/>
        <w:ind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2814CA38" w14:textId="77777777" w:rsidR="007C736D" w:rsidRDefault="00662CFB">
      <w:pPr>
        <w:spacing w:line="360" w:lineRule="auto"/>
        <w:ind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0EBEC6AC" w14:textId="77777777" w:rsidR="007C736D" w:rsidRDefault="00662CFB">
      <w:pPr>
        <w:spacing w:line="360" w:lineRule="auto"/>
        <w:ind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411EB5B4" w14:textId="77777777" w:rsidR="007C736D" w:rsidRDefault="00662CFB">
      <w:pPr>
        <w:spacing w:line="360" w:lineRule="auto"/>
        <w:ind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31FA1821" w14:textId="77777777" w:rsidR="007C736D" w:rsidRDefault="00662CFB">
      <w:pPr>
        <w:spacing w:line="360" w:lineRule="auto"/>
        <w:ind w:firstLine="480"/>
        <w:rPr>
          <w:bCs/>
          <w:sz w:val="24"/>
        </w:rPr>
      </w:pPr>
      <w:r>
        <w:rPr>
          <w:bCs/>
          <w:sz w:val="24"/>
        </w:rPr>
        <w:lastRenderedPageBreak/>
        <w:t>（</w:t>
      </w:r>
      <w:r>
        <w:rPr>
          <w:bCs/>
          <w:sz w:val="24"/>
        </w:rPr>
        <w:t>22</w:t>
      </w:r>
      <w:r>
        <w:rPr>
          <w:bCs/>
          <w:sz w:val="24"/>
        </w:rPr>
        <w:t>）当基金管理人将其义务委托第三方处理时，应当对第</w:t>
      </w:r>
      <w:r>
        <w:rPr>
          <w:bCs/>
          <w:sz w:val="24"/>
        </w:rPr>
        <w:t>三方处理有关基金事务的行为承担责任；</w:t>
      </w:r>
    </w:p>
    <w:p w14:paraId="0E9042A6" w14:textId="77777777" w:rsidR="007C736D" w:rsidRDefault="00662CFB">
      <w:pPr>
        <w:spacing w:line="360" w:lineRule="auto"/>
        <w:ind w:firstLine="480"/>
        <w:rPr>
          <w:bCs/>
          <w:sz w:val="24"/>
        </w:rPr>
      </w:pPr>
      <w:r>
        <w:rPr>
          <w:bCs/>
          <w:sz w:val="24"/>
        </w:rPr>
        <w:t>（</w:t>
      </w:r>
      <w:r>
        <w:rPr>
          <w:bCs/>
          <w:sz w:val="24"/>
        </w:rPr>
        <w:t>23</w:t>
      </w:r>
      <w:r>
        <w:rPr>
          <w:bCs/>
          <w:sz w:val="24"/>
        </w:rPr>
        <w:t>）以基金管理人名义，代表基金份额持有人利益行使诉讼权利或实施其他法律行为；</w:t>
      </w:r>
    </w:p>
    <w:p w14:paraId="767DB80C" w14:textId="77777777" w:rsidR="007C736D" w:rsidRDefault="00662CFB">
      <w:pPr>
        <w:spacing w:line="360" w:lineRule="auto"/>
        <w:ind w:firstLine="480"/>
        <w:rPr>
          <w:bCs/>
          <w:sz w:val="24"/>
        </w:rPr>
      </w:pPr>
      <w:r>
        <w:rPr>
          <w:bCs/>
          <w:sz w:val="24"/>
        </w:rPr>
        <w:t>（</w:t>
      </w:r>
      <w:r>
        <w:rPr>
          <w:bCs/>
          <w:sz w:val="24"/>
        </w:rPr>
        <w:t>24</w:t>
      </w:r>
      <w:r>
        <w:rPr>
          <w:bCs/>
          <w:sz w:val="24"/>
        </w:rPr>
        <w:t>）基金管理人在募集期间未能达到基金</w:t>
      </w:r>
      <w:bookmarkStart w:id="155" w:name="_Hlt88823209"/>
      <w:bookmarkEnd w:id="155"/>
      <w:r>
        <w:rPr>
          <w:bCs/>
          <w:sz w:val="24"/>
        </w:rPr>
        <w:t>的备案条件，《基金合同》不能生效，基金管理人承担全部募集费用，将已募集资金</w:t>
      </w:r>
      <w:r>
        <w:rPr>
          <w:rFonts w:hint="eastAsia"/>
          <w:bCs/>
          <w:sz w:val="24"/>
        </w:rPr>
        <w:t>并</w:t>
      </w:r>
      <w:r>
        <w:rPr>
          <w:bCs/>
          <w:sz w:val="24"/>
        </w:rPr>
        <w:t>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3001E0CE" w14:textId="77777777" w:rsidR="007C736D" w:rsidRDefault="00662CFB">
      <w:pPr>
        <w:spacing w:line="360" w:lineRule="auto"/>
        <w:ind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6CFA4DCB" w14:textId="77777777" w:rsidR="007C736D" w:rsidRDefault="00662CFB">
      <w:pPr>
        <w:spacing w:line="360" w:lineRule="auto"/>
        <w:ind w:firstLine="480"/>
        <w:rPr>
          <w:bCs/>
          <w:sz w:val="24"/>
        </w:rPr>
      </w:pPr>
      <w:r>
        <w:rPr>
          <w:bCs/>
          <w:sz w:val="24"/>
        </w:rPr>
        <w:t>（</w:t>
      </w:r>
      <w:r>
        <w:rPr>
          <w:bCs/>
          <w:sz w:val="24"/>
        </w:rPr>
        <w:t>26</w:t>
      </w:r>
      <w:r>
        <w:rPr>
          <w:bCs/>
          <w:sz w:val="24"/>
        </w:rPr>
        <w:t>）建立并保存基金份额持有人名册；</w:t>
      </w:r>
    </w:p>
    <w:p w14:paraId="0837C64B" w14:textId="77777777" w:rsidR="007C736D" w:rsidRDefault="00662CFB">
      <w:pPr>
        <w:spacing w:line="360" w:lineRule="auto"/>
        <w:ind w:firstLine="480"/>
        <w:rPr>
          <w:bCs/>
          <w:sz w:val="24"/>
        </w:rPr>
      </w:pPr>
      <w:r>
        <w:rPr>
          <w:bCs/>
          <w:sz w:val="24"/>
        </w:rPr>
        <w:t>（</w:t>
      </w:r>
      <w:r>
        <w:rPr>
          <w:bCs/>
          <w:sz w:val="24"/>
        </w:rPr>
        <w:t>27</w:t>
      </w:r>
      <w:r>
        <w:rPr>
          <w:bCs/>
          <w:sz w:val="24"/>
        </w:rPr>
        <w:t>）法律法规及中国证监会规定的和《基金合同》约定的其他义务。</w:t>
      </w:r>
    </w:p>
    <w:p w14:paraId="76A5B0EC" w14:textId="77777777" w:rsidR="007C736D" w:rsidRDefault="00662CFB">
      <w:pPr>
        <w:spacing w:line="360" w:lineRule="auto"/>
        <w:ind w:firstLine="480"/>
        <w:rPr>
          <w:bCs/>
          <w:sz w:val="24"/>
        </w:rPr>
      </w:pPr>
      <w:bookmarkStart w:id="156" w:name="_Toc15118238"/>
      <w:bookmarkStart w:id="157" w:name="_Toc57530240"/>
      <w:bookmarkStart w:id="158" w:name="_Toc79392581"/>
      <w:r>
        <w:rPr>
          <w:bCs/>
          <w:sz w:val="24"/>
        </w:rPr>
        <w:t>二、基金托管人</w:t>
      </w:r>
      <w:bookmarkEnd w:id="153"/>
      <w:bookmarkEnd w:id="156"/>
      <w:bookmarkEnd w:id="157"/>
      <w:bookmarkEnd w:id="158"/>
    </w:p>
    <w:p w14:paraId="6AEA12A5" w14:textId="77777777" w:rsidR="007C736D" w:rsidRDefault="00662CFB">
      <w:pPr>
        <w:spacing w:line="360" w:lineRule="auto"/>
        <w:ind w:firstLine="480"/>
        <w:rPr>
          <w:bCs/>
          <w:sz w:val="24"/>
        </w:rPr>
      </w:pPr>
      <w:bookmarkStart w:id="159" w:name="_Toc15118239"/>
      <w:r>
        <w:rPr>
          <w:bCs/>
          <w:sz w:val="24"/>
        </w:rPr>
        <w:t>（一）</w:t>
      </w:r>
      <w:r>
        <w:rPr>
          <w:bCs/>
          <w:sz w:val="24"/>
        </w:rPr>
        <w:tab/>
      </w:r>
      <w:r>
        <w:rPr>
          <w:bCs/>
          <w:sz w:val="24"/>
        </w:rPr>
        <w:t>基金托管人简况</w:t>
      </w:r>
      <w:bookmarkEnd w:id="159"/>
    </w:p>
    <w:p w14:paraId="38780A17" w14:textId="77777777" w:rsidR="007C736D" w:rsidRDefault="00662CFB">
      <w:pPr>
        <w:spacing w:line="360" w:lineRule="auto"/>
        <w:ind w:firstLine="480"/>
        <w:rPr>
          <w:rFonts w:eastAsia="宋体"/>
          <w:sz w:val="24"/>
          <w:lang w:bidi="en-US"/>
        </w:rPr>
      </w:pPr>
      <w:bookmarkStart w:id="160" w:name="_Toc15118240"/>
      <w:r>
        <w:rPr>
          <w:rFonts w:hint="eastAsia"/>
          <w:sz w:val="24"/>
        </w:rPr>
        <w:t>名称：中国建设银</w:t>
      </w:r>
      <w:r>
        <w:rPr>
          <w:rFonts w:hint="eastAsia"/>
          <w:sz w:val="24"/>
        </w:rPr>
        <w:t>行股份有限公司</w:t>
      </w:r>
    </w:p>
    <w:p w14:paraId="3F51B1FC" w14:textId="77777777" w:rsidR="007C736D" w:rsidRDefault="00662CFB">
      <w:pPr>
        <w:spacing w:line="360" w:lineRule="auto"/>
        <w:ind w:firstLine="480"/>
        <w:rPr>
          <w:rFonts w:eastAsia="宋体"/>
          <w:sz w:val="24"/>
          <w:lang w:bidi="en-US"/>
        </w:rPr>
      </w:pPr>
      <w:r>
        <w:rPr>
          <w:rFonts w:hint="eastAsia"/>
          <w:sz w:val="24"/>
        </w:rPr>
        <w:t>住所：北京市西城区金融大街</w:t>
      </w:r>
      <w:r>
        <w:rPr>
          <w:sz w:val="24"/>
        </w:rPr>
        <w:t>25</w:t>
      </w:r>
      <w:r>
        <w:rPr>
          <w:rFonts w:hint="eastAsia"/>
          <w:sz w:val="24"/>
        </w:rPr>
        <w:t>号</w:t>
      </w:r>
    </w:p>
    <w:p w14:paraId="18EDAB2C" w14:textId="77777777" w:rsidR="007C736D" w:rsidRDefault="00662CFB">
      <w:pPr>
        <w:spacing w:line="360" w:lineRule="auto"/>
        <w:ind w:firstLine="480"/>
        <w:rPr>
          <w:rFonts w:eastAsia="宋体"/>
          <w:sz w:val="24"/>
          <w:lang w:bidi="en-US"/>
        </w:rPr>
      </w:pPr>
      <w:r>
        <w:rPr>
          <w:rFonts w:hint="eastAsia"/>
          <w:sz w:val="24"/>
        </w:rPr>
        <w:t>办公地址：北京市西城区闹市口大街</w:t>
      </w:r>
      <w:r>
        <w:rPr>
          <w:sz w:val="24"/>
        </w:rPr>
        <w:t>1</w:t>
      </w:r>
      <w:r>
        <w:rPr>
          <w:rFonts w:hint="eastAsia"/>
          <w:sz w:val="24"/>
        </w:rPr>
        <w:t>号院</w:t>
      </w:r>
      <w:r>
        <w:rPr>
          <w:sz w:val="24"/>
        </w:rPr>
        <w:t>1</w:t>
      </w:r>
      <w:r>
        <w:rPr>
          <w:rFonts w:hint="eastAsia"/>
          <w:sz w:val="24"/>
        </w:rPr>
        <w:t>号楼</w:t>
      </w:r>
    </w:p>
    <w:p w14:paraId="5C315B6B" w14:textId="77777777" w:rsidR="007C736D" w:rsidRDefault="00662CFB">
      <w:pPr>
        <w:spacing w:line="360" w:lineRule="auto"/>
        <w:ind w:firstLine="480"/>
        <w:rPr>
          <w:rFonts w:eastAsia="宋体"/>
          <w:sz w:val="24"/>
          <w:lang w:bidi="en-US"/>
        </w:rPr>
      </w:pPr>
      <w:r>
        <w:rPr>
          <w:rFonts w:hint="eastAsia"/>
          <w:sz w:val="24"/>
        </w:rPr>
        <w:t>邮政编码：</w:t>
      </w:r>
      <w:r>
        <w:rPr>
          <w:sz w:val="24"/>
        </w:rPr>
        <w:t>100033</w:t>
      </w:r>
    </w:p>
    <w:p w14:paraId="515C6E8C" w14:textId="77777777" w:rsidR="007C736D" w:rsidRDefault="00662CFB">
      <w:pPr>
        <w:spacing w:line="360" w:lineRule="auto"/>
        <w:ind w:firstLine="480"/>
        <w:rPr>
          <w:rFonts w:eastAsia="宋体"/>
          <w:sz w:val="24"/>
          <w:lang w:bidi="en-US"/>
        </w:rPr>
      </w:pPr>
      <w:r>
        <w:rPr>
          <w:rFonts w:hint="eastAsia"/>
          <w:sz w:val="24"/>
        </w:rPr>
        <w:t>法定代表人：张金良</w:t>
      </w:r>
    </w:p>
    <w:p w14:paraId="617A9A7D" w14:textId="77777777" w:rsidR="007C736D" w:rsidRDefault="00662CFB">
      <w:pPr>
        <w:spacing w:line="360" w:lineRule="auto"/>
        <w:ind w:firstLine="480"/>
        <w:rPr>
          <w:rFonts w:eastAsia="宋体"/>
          <w:sz w:val="24"/>
          <w:lang w:bidi="en-US"/>
        </w:rPr>
      </w:pPr>
      <w:r>
        <w:rPr>
          <w:rFonts w:hint="eastAsia"/>
          <w:sz w:val="24"/>
        </w:rPr>
        <w:t>成立日期：</w:t>
      </w:r>
      <w:r>
        <w:rPr>
          <w:sz w:val="24"/>
        </w:rPr>
        <w:t>2004</w:t>
      </w:r>
      <w:r>
        <w:rPr>
          <w:rFonts w:hint="eastAsia"/>
          <w:sz w:val="24"/>
        </w:rPr>
        <w:t>年</w:t>
      </w:r>
      <w:r>
        <w:rPr>
          <w:sz w:val="24"/>
        </w:rPr>
        <w:t>09</w:t>
      </w:r>
      <w:r>
        <w:rPr>
          <w:rFonts w:hint="eastAsia"/>
          <w:sz w:val="24"/>
        </w:rPr>
        <w:t>月</w:t>
      </w:r>
      <w:r>
        <w:rPr>
          <w:sz w:val="24"/>
        </w:rPr>
        <w:t>17</w:t>
      </w:r>
      <w:r>
        <w:rPr>
          <w:rFonts w:hint="eastAsia"/>
          <w:sz w:val="24"/>
        </w:rPr>
        <w:t>日</w:t>
      </w:r>
    </w:p>
    <w:p w14:paraId="40F85C72" w14:textId="77777777" w:rsidR="007C736D" w:rsidRDefault="00662CFB">
      <w:pPr>
        <w:spacing w:line="360" w:lineRule="auto"/>
        <w:ind w:firstLine="480"/>
        <w:rPr>
          <w:rFonts w:eastAsia="宋体"/>
          <w:sz w:val="24"/>
          <w:lang w:bidi="en-US"/>
        </w:rPr>
      </w:pPr>
      <w:r>
        <w:rPr>
          <w:rFonts w:hint="eastAsia"/>
          <w:sz w:val="24"/>
        </w:rPr>
        <w:t>基金托管业务批准文号：中国证监会证监基字</w:t>
      </w:r>
      <w:r>
        <w:rPr>
          <w:sz w:val="24"/>
        </w:rPr>
        <w:t>[1998]12</w:t>
      </w:r>
      <w:r>
        <w:rPr>
          <w:rFonts w:hint="eastAsia"/>
          <w:sz w:val="24"/>
        </w:rPr>
        <w:t>号</w:t>
      </w:r>
    </w:p>
    <w:p w14:paraId="5DDA70DE" w14:textId="77777777" w:rsidR="007C736D" w:rsidRDefault="00662CFB">
      <w:pPr>
        <w:spacing w:line="360" w:lineRule="auto"/>
        <w:ind w:firstLine="480"/>
        <w:rPr>
          <w:rFonts w:eastAsia="宋体"/>
          <w:sz w:val="24"/>
          <w:lang w:bidi="en-US"/>
        </w:rPr>
      </w:pPr>
      <w:r>
        <w:rPr>
          <w:rFonts w:hint="eastAsia"/>
          <w:sz w:val="24"/>
        </w:rPr>
        <w:t>组织形式：股份有限公司</w:t>
      </w:r>
    </w:p>
    <w:p w14:paraId="05F67ADE" w14:textId="77777777" w:rsidR="007C736D" w:rsidRDefault="00662CFB">
      <w:pPr>
        <w:spacing w:line="360" w:lineRule="auto"/>
        <w:ind w:firstLine="480"/>
        <w:rPr>
          <w:rFonts w:eastAsia="宋体"/>
          <w:sz w:val="24"/>
          <w:lang w:bidi="en-US"/>
        </w:rPr>
      </w:pPr>
      <w:r>
        <w:rPr>
          <w:rFonts w:hint="eastAsia"/>
          <w:sz w:val="24"/>
        </w:rPr>
        <w:t>注册资本：贰仟伍佰亿壹仟零玖拾柒万柒仟肆佰捌拾陆元整</w:t>
      </w:r>
    </w:p>
    <w:p w14:paraId="408652AF" w14:textId="77777777" w:rsidR="007C736D" w:rsidRDefault="00662CFB">
      <w:pPr>
        <w:spacing w:line="360" w:lineRule="auto"/>
        <w:ind w:firstLine="480"/>
        <w:rPr>
          <w:rFonts w:eastAsia="宋体"/>
          <w:sz w:val="24"/>
          <w:lang w:bidi="en-US"/>
        </w:rPr>
      </w:pPr>
      <w:r>
        <w:rPr>
          <w:rFonts w:hint="eastAsia"/>
          <w:sz w:val="24"/>
        </w:rPr>
        <w:t>存续期间：持续经营</w:t>
      </w:r>
    </w:p>
    <w:p w14:paraId="03E3C15E" w14:textId="77777777" w:rsidR="007C736D" w:rsidRDefault="00662CFB">
      <w:pPr>
        <w:spacing w:line="360" w:lineRule="auto"/>
        <w:ind w:firstLine="480"/>
        <w:rPr>
          <w:bCs/>
          <w:sz w:val="24"/>
        </w:rPr>
      </w:pPr>
      <w:r>
        <w:rPr>
          <w:bCs/>
          <w:sz w:val="24"/>
        </w:rPr>
        <w:t>（二）</w:t>
      </w:r>
      <w:r>
        <w:rPr>
          <w:bCs/>
          <w:sz w:val="24"/>
        </w:rPr>
        <w:tab/>
      </w:r>
      <w:r>
        <w:rPr>
          <w:bCs/>
          <w:sz w:val="24"/>
        </w:rPr>
        <w:t>基金托管人的权利与义务</w:t>
      </w:r>
      <w:bookmarkEnd w:id="160"/>
    </w:p>
    <w:p w14:paraId="53908AA6" w14:textId="77777777" w:rsidR="007C736D" w:rsidRDefault="00662CFB">
      <w:pPr>
        <w:spacing w:line="360" w:lineRule="auto"/>
        <w:ind w:firstLine="480"/>
        <w:rPr>
          <w:bCs/>
          <w:sz w:val="24"/>
        </w:rPr>
      </w:pPr>
      <w:r>
        <w:rPr>
          <w:bCs/>
          <w:sz w:val="24"/>
        </w:rPr>
        <w:t>1</w:t>
      </w:r>
      <w:r>
        <w:rPr>
          <w:bCs/>
          <w:sz w:val="24"/>
        </w:rPr>
        <w:t>、根据《基金法》、《运作办法》及其他有关规定，基金托管人的权利包括但不限于：</w:t>
      </w:r>
    </w:p>
    <w:p w14:paraId="298393A3" w14:textId="77777777" w:rsidR="007C736D" w:rsidRDefault="00662CFB">
      <w:pPr>
        <w:spacing w:line="360" w:lineRule="auto"/>
        <w:ind w:firstLine="480"/>
        <w:rPr>
          <w:bCs/>
          <w:sz w:val="24"/>
        </w:rPr>
      </w:pPr>
      <w:r>
        <w:rPr>
          <w:bCs/>
          <w:sz w:val="24"/>
        </w:rPr>
        <w:t>（</w:t>
      </w:r>
      <w:r>
        <w:rPr>
          <w:bCs/>
          <w:sz w:val="24"/>
        </w:rPr>
        <w:t>1</w:t>
      </w:r>
      <w:r>
        <w:rPr>
          <w:bCs/>
          <w:sz w:val="24"/>
        </w:rPr>
        <w:t>）自《基金合同》生效之日起，依法律法规和《基金合同》的规定安全保</w:t>
      </w:r>
      <w:r>
        <w:rPr>
          <w:bCs/>
          <w:sz w:val="24"/>
        </w:rPr>
        <w:t>管基金财产；</w:t>
      </w:r>
    </w:p>
    <w:p w14:paraId="21600397" w14:textId="77777777" w:rsidR="007C736D" w:rsidRDefault="00662CFB">
      <w:pPr>
        <w:spacing w:line="360" w:lineRule="auto"/>
        <w:ind w:firstLine="480"/>
        <w:rPr>
          <w:bCs/>
          <w:sz w:val="24"/>
        </w:rPr>
      </w:pPr>
      <w:r>
        <w:rPr>
          <w:bCs/>
          <w:sz w:val="24"/>
        </w:rPr>
        <w:t>（</w:t>
      </w:r>
      <w:r>
        <w:rPr>
          <w:bCs/>
          <w:sz w:val="24"/>
        </w:rPr>
        <w:t>2</w:t>
      </w:r>
      <w:r>
        <w:rPr>
          <w:bCs/>
          <w:sz w:val="24"/>
        </w:rPr>
        <w:t>）依《基金合同》约定获得基金托管费以及法律法规规定或监管部门批准的其他费用；</w:t>
      </w:r>
    </w:p>
    <w:p w14:paraId="600B0AEF" w14:textId="77777777" w:rsidR="007C736D" w:rsidRDefault="00662CFB">
      <w:pPr>
        <w:spacing w:line="360" w:lineRule="auto"/>
        <w:ind w:firstLine="480"/>
        <w:rPr>
          <w:bCs/>
          <w:sz w:val="24"/>
        </w:rPr>
      </w:pPr>
      <w:r>
        <w:rPr>
          <w:bCs/>
          <w:sz w:val="24"/>
        </w:rPr>
        <w:lastRenderedPageBreak/>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8CC0194" w14:textId="77777777" w:rsidR="007C736D" w:rsidRDefault="00662CFB">
      <w:pPr>
        <w:spacing w:line="360" w:lineRule="auto"/>
        <w:ind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w:t>
      </w:r>
      <w:bookmarkStart w:id="161" w:name="_Hlk60132569"/>
      <w:r>
        <w:rPr>
          <w:bCs/>
          <w:sz w:val="24"/>
        </w:rPr>
        <w:t>投资所需</w:t>
      </w:r>
      <w:bookmarkEnd w:id="161"/>
      <w:r>
        <w:rPr>
          <w:bCs/>
          <w:sz w:val="24"/>
        </w:rPr>
        <w:t>账户</w:t>
      </w:r>
      <w:r>
        <w:rPr>
          <w:rFonts w:hint="eastAsia"/>
          <w:bCs/>
          <w:sz w:val="24"/>
        </w:rPr>
        <w:t>，</w:t>
      </w:r>
      <w:r>
        <w:rPr>
          <w:bCs/>
          <w:sz w:val="24"/>
        </w:rPr>
        <w:t>为基金办理证券</w:t>
      </w:r>
      <w:r>
        <w:rPr>
          <w:rFonts w:hint="eastAsia"/>
          <w:bCs/>
          <w:sz w:val="24"/>
        </w:rPr>
        <w:t>、</w:t>
      </w:r>
      <w:r>
        <w:rPr>
          <w:bCs/>
          <w:sz w:val="24"/>
        </w:rPr>
        <w:t>期货交易资金清算</w:t>
      </w:r>
      <w:r>
        <w:rPr>
          <w:rFonts w:hint="eastAsia"/>
          <w:bCs/>
          <w:sz w:val="24"/>
        </w:rPr>
        <w:t>；</w:t>
      </w:r>
    </w:p>
    <w:p w14:paraId="05D4F21B" w14:textId="77777777" w:rsidR="007C736D" w:rsidRDefault="00662CFB">
      <w:pPr>
        <w:spacing w:line="360" w:lineRule="auto"/>
        <w:ind w:firstLine="480"/>
        <w:rPr>
          <w:bCs/>
          <w:sz w:val="24"/>
        </w:rPr>
      </w:pPr>
      <w:r>
        <w:rPr>
          <w:bCs/>
          <w:sz w:val="24"/>
        </w:rPr>
        <w:t>（</w:t>
      </w:r>
      <w:r>
        <w:rPr>
          <w:bCs/>
          <w:sz w:val="24"/>
        </w:rPr>
        <w:t>5</w:t>
      </w:r>
      <w:r>
        <w:rPr>
          <w:bCs/>
          <w:sz w:val="24"/>
        </w:rPr>
        <w:t>）提议召开或召集基金份额持有人大会；</w:t>
      </w:r>
    </w:p>
    <w:p w14:paraId="3AF70D44" w14:textId="77777777" w:rsidR="007C736D" w:rsidRDefault="00662CFB">
      <w:pPr>
        <w:spacing w:line="360" w:lineRule="auto"/>
        <w:ind w:firstLine="480"/>
        <w:rPr>
          <w:bCs/>
          <w:sz w:val="24"/>
        </w:rPr>
      </w:pPr>
      <w:r>
        <w:rPr>
          <w:bCs/>
          <w:sz w:val="24"/>
        </w:rPr>
        <w:t>（</w:t>
      </w:r>
      <w:r>
        <w:rPr>
          <w:bCs/>
          <w:sz w:val="24"/>
        </w:rPr>
        <w:t>6</w:t>
      </w:r>
      <w:r>
        <w:rPr>
          <w:bCs/>
          <w:sz w:val="24"/>
        </w:rPr>
        <w:t>）在基金管理人更换时，提名新的基金管理人；</w:t>
      </w:r>
    </w:p>
    <w:p w14:paraId="3BCD4FD6" w14:textId="77777777" w:rsidR="007C736D" w:rsidRDefault="00662CFB">
      <w:pPr>
        <w:spacing w:line="360" w:lineRule="auto"/>
        <w:ind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27F034CE" w14:textId="77777777" w:rsidR="007C736D" w:rsidRDefault="00662CFB">
      <w:pPr>
        <w:spacing w:line="360" w:lineRule="auto"/>
        <w:ind w:firstLine="480"/>
        <w:rPr>
          <w:bCs/>
          <w:sz w:val="24"/>
        </w:rPr>
      </w:pPr>
      <w:r>
        <w:rPr>
          <w:bCs/>
          <w:sz w:val="24"/>
        </w:rPr>
        <w:t>2</w:t>
      </w:r>
      <w:r>
        <w:rPr>
          <w:bCs/>
          <w:sz w:val="24"/>
        </w:rPr>
        <w:t>、根据《基金法》、《运作办法》及其他有关规定，基金托管人的义务包括但不限于：</w:t>
      </w:r>
    </w:p>
    <w:p w14:paraId="6D51E125" w14:textId="77777777" w:rsidR="007C736D" w:rsidRDefault="00662CFB">
      <w:pPr>
        <w:spacing w:line="360" w:lineRule="auto"/>
        <w:ind w:firstLine="480"/>
        <w:rPr>
          <w:bCs/>
          <w:sz w:val="24"/>
        </w:rPr>
      </w:pPr>
      <w:r>
        <w:rPr>
          <w:bCs/>
          <w:sz w:val="24"/>
        </w:rPr>
        <w:t>（</w:t>
      </w:r>
      <w:r>
        <w:rPr>
          <w:bCs/>
          <w:sz w:val="24"/>
        </w:rPr>
        <w:t>1</w:t>
      </w:r>
      <w:r>
        <w:rPr>
          <w:bCs/>
          <w:sz w:val="24"/>
        </w:rPr>
        <w:t>）以诚实信用、勤勉尽责的原则持有并安全保管基金财产；</w:t>
      </w:r>
    </w:p>
    <w:p w14:paraId="50C127AC" w14:textId="77777777" w:rsidR="007C736D" w:rsidRDefault="00662CFB">
      <w:pPr>
        <w:spacing w:line="360" w:lineRule="auto"/>
        <w:ind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6CFD3915" w14:textId="77777777" w:rsidR="007C736D" w:rsidRDefault="00662CFB">
      <w:pPr>
        <w:spacing w:line="360" w:lineRule="auto"/>
        <w:ind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w:t>
      </w:r>
      <w:r>
        <w:rPr>
          <w:bCs/>
          <w:sz w:val="24"/>
        </w:rPr>
        <w:t>核算，分账管理，保证不同基金之间在账户设置、资金划拨、账册记录等方面相互独立；</w:t>
      </w:r>
    </w:p>
    <w:p w14:paraId="0F0AAEB9" w14:textId="77777777" w:rsidR="007C736D" w:rsidRDefault="00662CFB">
      <w:pPr>
        <w:spacing w:line="360" w:lineRule="auto"/>
        <w:ind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7B2CB4B0" w14:textId="77777777" w:rsidR="007C736D" w:rsidRDefault="00662CFB">
      <w:pPr>
        <w:spacing w:line="360" w:lineRule="auto"/>
        <w:ind w:firstLine="480"/>
        <w:rPr>
          <w:bCs/>
          <w:sz w:val="24"/>
        </w:rPr>
      </w:pPr>
      <w:r>
        <w:rPr>
          <w:bCs/>
          <w:sz w:val="24"/>
        </w:rPr>
        <w:t>（</w:t>
      </w:r>
      <w:r>
        <w:rPr>
          <w:bCs/>
          <w:sz w:val="24"/>
        </w:rPr>
        <w:t>5</w:t>
      </w:r>
      <w:r>
        <w:rPr>
          <w:bCs/>
          <w:sz w:val="24"/>
        </w:rPr>
        <w:t>）保管由基金管理人代表基金签订的与基金有关的重大合同及有关凭证；</w:t>
      </w:r>
    </w:p>
    <w:p w14:paraId="42DA3A67" w14:textId="77777777" w:rsidR="007C736D" w:rsidRDefault="00662CFB">
      <w:pPr>
        <w:spacing w:line="360" w:lineRule="auto"/>
        <w:ind w:firstLine="480"/>
        <w:rPr>
          <w:bCs/>
          <w:sz w:val="24"/>
        </w:rPr>
      </w:pPr>
      <w:r>
        <w:rPr>
          <w:bCs/>
          <w:sz w:val="24"/>
        </w:rPr>
        <w:t>（</w:t>
      </w:r>
      <w:r>
        <w:rPr>
          <w:bCs/>
          <w:sz w:val="24"/>
        </w:rPr>
        <w:t>6</w:t>
      </w:r>
      <w:r>
        <w:rPr>
          <w:bCs/>
          <w:sz w:val="24"/>
        </w:rPr>
        <w:t>）按规定开设基金财产的资金账户</w:t>
      </w:r>
      <w:r>
        <w:rPr>
          <w:rFonts w:hint="eastAsia"/>
          <w:bCs/>
          <w:sz w:val="24"/>
        </w:rPr>
        <w:t>和</w:t>
      </w:r>
      <w:r>
        <w:rPr>
          <w:bCs/>
          <w:sz w:val="24"/>
        </w:rPr>
        <w:t>证券账户</w:t>
      </w:r>
      <w:r>
        <w:rPr>
          <w:rFonts w:hint="eastAsia"/>
          <w:bCs/>
          <w:sz w:val="24"/>
        </w:rPr>
        <w:t>等</w:t>
      </w:r>
      <w:r>
        <w:rPr>
          <w:bCs/>
          <w:sz w:val="24"/>
        </w:rPr>
        <w:t>投资所需账户</w:t>
      </w:r>
      <w:r>
        <w:rPr>
          <w:rFonts w:hint="eastAsia"/>
          <w:bCs/>
          <w:sz w:val="24"/>
        </w:rPr>
        <w:t>，</w:t>
      </w:r>
      <w:r>
        <w:rPr>
          <w:bCs/>
          <w:sz w:val="24"/>
        </w:rPr>
        <w:t>按照《基金合同》的约定，根据基金管理人的投资指令，及时办理清算、交割事宜；</w:t>
      </w:r>
    </w:p>
    <w:p w14:paraId="2EB880DC" w14:textId="77777777" w:rsidR="007C736D" w:rsidRDefault="00662CFB">
      <w:pPr>
        <w:spacing w:line="360" w:lineRule="auto"/>
        <w:ind w:firstLine="480"/>
        <w:rPr>
          <w:bCs/>
          <w:sz w:val="24"/>
        </w:rPr>
      </w:pPr>
      <w:r>
        <w:rPr>
          <w:bCs/>
          <w:sz w:val="24"/>
        </w:rPr>
        <w:t>（</w:t>
      </w:r>
      <w:r>
        <w:rPr>
          <w:bCs/>
          <w:sz w:val="24"/>
        </w:rPr>
        <w:t>7</w:t>
      </w:r>
      <w:r>
        <w:rPr>
          <w:bCs/>
          <w:sz w:val="24"/>
        </w:rPr>
        <w:t>）保守基金商业秘密，除《基金法》、《基金合同》及其他有关规定另有规定外，在基金信息公开披露前予</w:t>
      </w:r>
      <w:r>
        <w:rPr>
          <w:bCs/>
          <w:sz w:val="24"/>
        </w:rPr>
        <w:t>以保密，不得向他人泄露</w:t>
      </w:r>
      <w:r>
        <w:rPr>
          <w:rFonts w:hint="eastAsia"/>
          <w:bCs/>
          <w:sz w:val="24"/>
        </w:rPr>
        <w:t>，但应监管机构、司法机关、托管人上市的证券交易所等有权机关的要求，或因审计、法律等外部专业顾问提供服务需要提供的情况除外</w:t>
      </w:r>
      <w:r>
        <w:rPr>
          <w:bCs/>
          <w:sz w:val="24"/>
        </w:rPr>
        <w:t>；</w:t>
      </w:r>
    </w:p>
    <w:p w14:paraId="3F92D366" w14:textId="77777777" w:rsidR="007C736D" w:rsidRDefault="00662CFB">
      <w:pPr>
        <w:spacing w:line="360" w:lineRule="auto"/>
        <w:ind w:firstLine="480"/>
        <w:rPr>
          <w:bCs/>
          <w:sz w:val="24"/>
        </w:rPr>
      </w:pPr>
      <w:r>
        <w:rPr>
          <w:bCs/>
          <w:sz w:val="24"/>
        </w:rPr>
        <w:t>（</w:t>
      </w:r>
      <w:r>
        <w:rPr>
          <w:bCs/>
          <w:sz w:val="24"/>
        </w:rPr>
        <w:t>8</w:t>
      </w:r>
      <w:r>
        <w:rPr>
          <w:bCs/>
          <w:sz w:val="24"/>
        </w:rPr>
        <w:t>）复核、审查基金管理人计算的基金资产净值、</w:t>
      </w:r>
      <w:r>
        <w:rPr>
          <w:rFonts w:hint="eastAsia"/>
          <w:bCs/>
          <w:sz w:val="24"/>
        </w:rPr>
        <w:t>各类基金份额的基金份额净值、</w:t>
      </w:r>
      <w:r>
        <w:rPr>
          <w:bCs/>
          <w:sz w:val="24"/>
        </w:rPr>
        <w:t>基金份额申购、赎回价格；</w:t>
      </w:r>
    </w:p>
    <w:p w14:paraId="559CB283" w14:textId="77777777" w:rsidR="007C736D" w:rsidRDefault="00662CFB">
      <w:pPr>
        <w:spacing w:line="360" w:lineRule="auto"/>
        <w:ind w:firstLine="480"/>
        <w:rPr>
          <w:bCs/>
          <w:sz w:val="24"/>
        </w:rPr>
      </w:pPr>
      <w:r>
        <w:rPr>
          <w:bCs/>
          <w:sz w:val="24"/>
        </w:rPr>
        <w:t>（</w:t>
      </w:r>
      <w:r>
        <w:rPr>
          <w:bCs/>
          <w:sz w:val="24"/>
        </w:rPr>
        <w:t>9</w:t>
      </w:r>
      <w:r>
        <w:rPr>
          <w:bCs/>
          <w:sz w:val="24"/>
        </w:rPr>
        <w:t>）办理与基金托管业务活动有关的信息披露事项；</w:t>
      </w:r>
    </w:p>
    <w:p w14:paraId="401C5D91" w14:textId="77777777" w:rsidR="007C736D" w:rsidRDefault="00662CFB">
      <w:pPr>
        <w:spacing w:line="360" w:lineRule="auto"/>
        <w:ind w:firstLine="480"/>
        <w:rPr>
          <w:bCs/>
          <w:sz w:val="24"/>
        </w:rPr>
      </w:pPr>
      <w:r>
        <w:rPr>
          <w:bCs/>
          <w:sz w:val="24"/>
        </w:rPr>
        <w:lastRenderedPageBreak/>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w:t>
      </w:r>
      <w:r>
        <w:rPr>
          <w:bCs/>
          <w:sz w:val="24"/>
        </w:rPr>
        <w:t>措施；</w:t>
      </w:r>
    </w:p>
    <w:p w14:paraId="7B06A6BF" w14:textId="77777777" w:rsidR="007C736D" w:rsidRDefault="00662CFB">
      <w:pPr>
        <w:spacing w:line="360" w:lineRule="auto"/>
        <w:ind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保存期限不低于法律法规规定的最低期限</w:t>
      </w:r>
      <w:r>
        <w:rPr>
          <w:bCs/>
          <w:sz w:val="24"/>
        </w:rPr>
        <w:t>；</w:t>
      </w:r>
    </w:p>
    <w:p w14:paraId="2DE379CB" w14:textId="77777777" w:rsidR="007C736D" w:rsidRDefault="00662CFB">
      <w:pPr>
        <w:spacing w:line="360" w:lineRule="auto"/>
        <w:ind w:firstLine="480"/>
        <w:rPr>
          <w:bCs/>
          <w:sz w:val="24"/>
        </w:rPr>
      </w:pPr>
      <w:r>
        <w:rPr>
          <w:bCs/>
          <w:sz w:val="24"/>
        </w:rPr>
        <w:t>（</w:t>
      </w:r>
      <w:r>
        <w:rPr>
          <w:bCs/>
          <w:sz w:val="24"/>
        </w:rPr>
        <w:t>12</w:t>
      </w:r>
      <w:r>
        <w:rPr>
          <w:bCs/>
          <w:sz w:val="24"/>
        </w:rPr>
        <w:t>）</w:t>
      </w:r>
      <w:r>
        <w:rPr>
          <w:rFonts w:hint="eastAsia"/>
          <w:bCs/>
          <w:sz w:val="24"/>
        </w:rPr>
        <w:t>从基金管理人或其委托的登记机构处接收并保存基金份额持有人名册</w:t>
      </w:r>
      <w:r>
        <w:rPr>
          <w:bCs/>
          <w:sz w:val="24"/>
        </w:rPr>
        <w:t>；</w:t>
      </w:r>
    </w:p>
    <w:p w14:paraId="1CED1203" w14:textId="77777777" w:rsidR="007C736D" w:rsidRDefault="00662CFB">
      <w:pPr>
        <w:spacing w:line="360" w:lineRule="auto"/>
        <w:ind w:firstLine="480"/>
        <w:rPr>
          <w:bCs/>
          <w:sz w:val="24"/>
        </w:rPr>
      </w:pPr>
      <w:r>
        <w:rPr>
          <w:bCs/>
          <w:sz w:val="24"/>
        </w:rPr>
        <w:t>（</w:t>
      </w:r>
      <w:r>
        <w:rPr>
          <w:bCs/>
          <w:sz w:val="24"/>
        </w:rPr>
        <w:t>13</w:t>
      </w:r>
      <w:r>
        <w:rPr>
          <w:bCs/>
          <w:sz w:val="24"/>
        </w:rPr>
        <w:t>）按规定制作相关账册并与基金管理人核对；</w:t>
      </w:r>
    </w:p>
    <w:p w14:paraId="28572BCE" w14:textId="77777777" w:rsidR="007C736D" w:rsidRDefault="00662CFB">
      <w:pPr>
        <w:spacing w:line="360" w:lineRule="auto"/>
        <w:ind w:firstLine="480"/>
        <w:rPr>
          <w:bCs/>
          <w:sz w:val="24"/>
        </w:rPr>
      </w:pPr>
      <w:r>
        <w:rPr>
          <w:bCs/>
          <w:sz w:val="24"/>
        </w:rPr>
        <w:t>（</w:t>
      </w:r>
      <w:r>
        <w:rPr>
          <w:bCs/>
          <w:sz w:val="24"/>
        </w:rPr>
        <w:t>14</w:t>
      </w:r>
      <w:r>
        <w:rPr>
          <w:bCs/>
          <w:sz w:val="24"/>
        </w:rPr>
        <w:t>）依据基金管理人的指令或有关规定向基金份额持有人支付基金收益和赎回款项；</w:t>
      </w:r>
    </w:p>
    <w:p w14:paraId="21727F76" w14:textId="77777777" w:rsidR="007C736D" w:rsidRDefault="00662CFB">
      <w:pPr>
        <w:spacing w:line="360" w:lineRule="auto"/>
        <w:ind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7F326C76" w14:textId="77777777" w:rsidR="007C736D" w:rsidRDefault="00662CFB">
      <w:pPr>
        <w:spacing w:line="360" w:lineRule="auto"/>
        <w:ind w:firstLine="480"/>
        <w:rPr>
          <w:bCs/>
          <w:sz w:val="24"/>
        </w:rPr>
      </w:pPr>
      <w:r>
        <w:rPr>
          <w:bCs/>
          <w:sz w:val="24"/>
        </w:rPr>
        <w:t>（</w:t>
      </w:r>
      <w:r>
        <w:rPr>
          <w:bCs/>
          <w:sz w:val="24"/>
        </w:rPr>
        <w:t>16</w:t>
      </w:r>
      <w:r>
        <w:rPr>
          <w:bCs/>
          <w:sz w:val="24"/>
        </w:rPr>
        <w:t>）按照法律法规和《基金合同》的规定监督基金管理人的投资运作；</w:t>
      </w:r>
    </w:p>
    <w:p w14:paraId="5530FE01" w14:textId="77777777" w:rsidR="007C736D" w:rsidRDefault="00662CFB">
      <w:pPr>
        <w:spacing w:line="360" w:lineRule="auto"/>
        <w:ind w:firstLine="480"/>
        <w:rPr>
          <w:bCs/>
          <w:sz w:val="24"/>
        </w:rPr>
      </w:pPr>
      <w:r>
        <w:rPr>
          <w:bCs/>
          <w:sz w:val="24"/>
        </w:rPr>
        <w:t>（</w:t>
      </w:r>
      <w:r>
        <w:rPr>
          <w:bCs/>
          <w:sz w:val="24"/>
        </w:rPr>
        <w:t>17</w:t>
      </w:r>
      <w:r>
        <w:rPr>
          <w:bCs/>
          <w:sz w:val="24"/>
        </w:rPr>
        <w:t>）参加基金财产清算小组，参与基金财产的保管、清理、估价、变现和分配；</w:t>
      </w:r>
    </w:p>
    <w:p w14:paraId="03F61B65" w14:textId="77777777" w:rsidR="007C736D" w:rsidRDefault="00662CFB">
      <w:pPr>
        <w:spacing w:line="360" w:lineRule="auto"/>
        <w:ind w:firstLine="480"/>
        <w:rPr>
          <w:bCs/>
          <w:sz w:val="24"/>
        </w:rPr>
      </w:pPr>
      <w:r>
        <w:rPr>
          <w:bCs/>
          <w:sz w:val="24"/>
        </w:rPr>
        <w:t>（</w:t>
      </w:r>
      <w:r>
        <w:rPr>
          <w:bCs/>
          <w:sz w:val="24"/>
        </w:rPr>
        <w:t>18</w:t>
      </w:r>
      <w:r>
        <w:rPr>
          <w:bCs/>
          <w:sz w:val="24"/>
        </w:rPr>
        <w:t>）面临解散、依法被撤销或者被依法宣告破产时，及时报告中国证监会和银行业监督管理机构，并通知基金管理人；</w:t>
      </w:r>
    </w:p>
    <w:p w14:paraId="2710416F" w14:textId="77777777" w:rsidR="007C736D" w:rsidRDefault="00662CFB">
      <w:pPr>
        <w:spacing w:line="360" w:lineRule="auto"/>
        <w:ind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3E433DEE" w14:textId="77777777" w:rsidR="007C736D" w:rsidRDefault="00662CFB">
      <w:pPr>
        <w:spacing w:line="360" w:lineRule="auto"/>
        <w:ind w:firstLine="480"/>
        <w:rPr>
          <w:bCs/>
          <w:sz w:val="24"/>
        </w:rPr>
      </w:pPr>
      <w:r>
        <w:rPr>
          <w:bCs/>
          <w:sz w:val="24"/>
        </w:rPr>
        <w:t>（</w:t>
      </w:r>
      <w:r>
        <w:rPr>
          <w:bCs/>
          <w:sz w:val="24"/>
        </w:rPr>
        <w:t>20</w:t>
      </w:r>
      <w:r>
        <w:rPr>
          <w:bCs/>
          <w:sz w:val="24"/>
        </w:rPr>
        <w:t>）</w:t>
      </w:r>
      <w:r>
        <w:rPr>
          <w:rFonts w:hint="eastAsia"/>
          <w:bCs/>
          <w:sz w:val="24"/>
        </w:rPr>
        <w:t>按规定</w:t>
      </w:r>
      <w:r>
        <w:rPr>
          <w:bCs/>
          <w:sz w:val="24"/>
        </w:rPr>
        <w:t>监督基金管理人按法律法规和《基金合同》规定履行自己的义务，基金管理人因违反《基金合同》造成基金财产损失时，应为基金份额持有人利益向基金管理人追偿</w:t>
      </w:r>
      <w:bookmarkStart w:id="162" w:name="_Hlt88825668"/>
      <w:bookmarkEnd w:id="162"/>
      <w:r>
        <w:rPr>
          <w:bCs/>
          <w:sz w:val="24"/>
        </w:rPr>
        <w:t>；</w:t>
      </w:r>
    </w:p>
    <w:p w14:paraId="626379EB" w14:textId="77777777" w:rsidR="007C736D" w:rsidRDefault="00662CFB">
      <w:pPr>
        <w:spacing w:line="360" w:lineRule="auto"/>
        <w:ind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14:paraId="086F952A" w14:textId="77777777" w:rsidR="007C736D" w:rsidRDefault="00662CFB">
      <w:pPr>
        <w:spacing w:line="360" w:lineRule="auto"/>
        <w:ind w:firstLine="480"/>
        <w:rPr>
          <w:bCs/>
          <w:sz w:val="24"/>
        </w:rPr>
      </w:pPr>
      <w:r>
        <w:rPr>
          <w:bCs/>
          <w:sz w:val="24"/>
        </w:rPr>
        <w:t>（</w:t>
      </w:r>
      <w:r>
        <w:rPr>
          <w:bCs/>
          <w:sz w:val="24"/>
        </w:rPr>
        <w:t>22</w:t>
      </w:r>
      <w:r>
        <w:rPr>
          <w:bCs/>
          <w:sz w:val="24"/>
        </w:rPr>
        <w:t>）</w:t>
      </w:r>
      <w:bookmarkStart w:id="163" w:name="_Toc523711670"/>
      <w:r>
        <w:rPr>
          <w:bCs/>
          <w:sz w:val="24"/>
        </w:rPr>
        <w:t>法律法规及中国证监会规定的和《基金合同》约定的其他义务。</w:t>
      </w:r>
    </w:p>
    <w:p w14:paraId="16F5B555" w14:textId="77777777" w:rsidR="007C736D" w:rsidRDefault="00662CFB">
      <w:pPr>
        <w:spacing w:line="360" w:lineRule="auto"/>
        <w:ind w:firstLine="480"/>
        <w:rPr>
          <w:bCs/>
          <w:sz w:val="24"/>
        </w:rPr>
      </w:pPr>
      <w:bookmarkStart w:id="164" w:name="_Toc79392582"/>
      <w:bookmarkEnd w:id="163"/>
      <w:r>
        <w:rPr>
          <w:bCs/>
          <w:sz w:val="24"/>
        </w:rPr>
        <w:t>三、基金份额持有人</w:t>
      </w:r>
      <w:bookmarkEnd w:id="164"/>
    </w:p>
    <w:p w14:paraId="683AD08F" w14:textId="77777777" w:rsidR="007C736D" w:rsidRDefault="00662CFB">
      <w:pPr>
        <w:spacing w:line="360" w:lineRule="auto"/>
        <w:ind w:firstLine="480"/>
        <w:rPr>
          <w:bCs/>
          <w:sz w:val="24"/>
        </w:rPr>
      </w:pPr>
      <w:r>
        <w:rPr>
          <w:bCs/>
          <w:sz w:val="24"/>
        </w:rPr>
        <w:t>基金投资者</w:t>
      </w:r>
      <w:r>
        <w:rPr>
          <w:rFonts w:hint="eastAsia"/>
          <w:bCs/>
          <w:sz w:val="24"/>
        </w:rPr>
        <w:t>持有</w:t>
      </w:r>
      <w:r>
        <w:rPr>
          <w:bCs/>
          <w:sz w:val="24"/>
        </w:rPr>
        <w:t>本基金</w:t>
      </w:r>
      <w:bookmarkStart w:id="165" w:name="_Hlt88899909"/>
      <w:bookmarkEnd w:id="165"/>
      <w:r>
        <w:rPr>
          <w:bCs/>
          <w:sz w:val="24"/>
        </w:rPr>
        <w:t>基金份额的行为即视为对《基金合同》的承认和接受，基金投资者自依据《基金合同》取得基金份额，即成为本基金份额持有人和《基金合同》的当事人，直至其不再持有本基金的基金份额。基金份额持有</w:t>
      </w:r>
      <w:r>
        <w:rPr>
          <w:bCs/>
          <w:sz w:val="24"/>
        </w:rPr>
        <w:lastRenderedPageBreak/>
        <w:t>人作为《基金合同》当事人并不以在《基金合同》上书面签章或签字为必要条件。</w:t>
      </w:r>
    </w:p>
    <w:p w14:paraId="72534D65" w14:textId="77777777" w:rsidR="007C736D" w:rsidRDefault="00662CFB">
      <w:pPr>
        <w:spacing w:line="360" w:lineRule="auto"/>
        <w:ind w:firstLine="480"/>
        <w:rPr>
          <w:bCs/>
          <w:sz w:val="24"/>
        </w:rPr>
      </w:pPr>
      <w:r>
        <w:rPr>
          <w:rFonts w:hint="eastAsia"/>
          <w:bCs/>
          <w:sz w:val="24"/>
        </w:rPr>
        <w:t>除法律法规另有规定或基金合同另有约定外，同一</w:t>
      </w:r>
      <w:r>
        <w:rPr>
          <w:bCs/>
          <w:sz w:val="24"/>
        </w:rPr>
        <w:t>类别的每份基金份额具有同等的合法权益。</w:t>
      </w:r>
    </w:p>
    <w:p w14:paraId="274B8E76" w14:textId="77777777" w:rsidR="007C736D" w:rsidRDefault="00662CFB">
      <w:pPr>
        <w:spacing w:line="360" w:lineRule="auto"/>
        <w:ind w:firstLine="480"/>
        <w:rPr>
          <w:bCs/>
          <w:sz w:val="24"/>
        </w:rPr>
      </w:pPr>
      <w:r>
        <w:rPr>
          <w:bCs/>
          <w:sz w:val="24"/>
        </w:rPr>
        <w:t>1</w:t>
      </w:r>
      <w:r>
        <w:rPr>
          <w:bCs/>
          <w:sz w:val="24"/>
        </w:rPr>
        <w:t>、根据《基金法》、《运作办法》及其他有关规定，基金份额持有人的权利包括但不</w:t>
      </w:r>
      <w:r>
        <w:rPr>
          <w:bCs/>
          <w:sz w:val="24"/>
        </w:rPr>
        <w:t>限于：</w:t>
      </w:r>
    </w:p>
    <w:p w14:paraId="378CF0B7" w14:textId="77777777" w:rsidR="007C736D" w:rsidRDefault="00662CFB">
      <w:pPr>
        <w:spacing w:line="360" w:lineRule="auto"/>
        <w:ind w:firstLine="480"/>
        <w:rPr>
          <w:bCs/>
          <w:sz w:val="24"/>
        </w:rPr>
      </w:pPr>
      <w:r>
        <w:rPr>
          <w:bCs/>
          <w:sz w:val="24"/>
        </w:rPr>
        <w:t>（</w:t>
      </w:r>
      <w:r>
        <w:rPr>
          <w:bCs/>
          <w:sz w:val="24"/>
        </w:rPr>
        <w:t>1</w:t>
      </w:r>
      <w:r>
        <w:rPr>
          <w:bCs/>
          <w:sz w:val="24"/>
        </w:rPr>
        <w:t>）分享基金财产收益；</w:t>
      </w:r>
    </w:p>
    <w:p w14:paraId="59A224CB" w14:textId="77777777" w:rsidR="007C736D" w:rsidRDefault="00662CFB">
      <w:pPr>
        <w:spacing w:line="360" w:lineRule="auto"/>
        <w:ind w:firstLine="480"/>
        <w:rPr>
          <w:bCs/>
          <w:sz w:val="24"/>
        </w:rPr>
      </w:pPr>
      <w:r>
        <w:rPr>
          <w:bCs/>
          <w:sz w:val="24"/>
        </w:rPr>
        <w:t>（</w:t>
      </w:r>
      <w:r>
        <w:rPr>
          <w:bCs/>
          <w:sz w:val="24"/>
        </w:rPr>
        <w:t>2</w:t>
      </w:r>
      <w:r>
        <w:rPr>
          <w:bCs/>
          <w:sz w:val="24"/>
        </w:rPr>
        <w:t>）参与分配清算后的剩余基金财产；</w:t>
      </w:r>
      <w:bookmarkStart w:id="166" w:name="_Hlt88825574"/>
      <w:bookmarkEnd w:id="166"/>
    </w:p>
    <w:p w14:paraId="61E81D8E" w14:textId="77777777" w:rsidR="007C736D" w:rsidRDefault="00662CFB">
      <w:pPr>
        <w:spacing w:line="360" w:lineRule="auto"/>
        <w:ind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118CDEBB" w14:textId="77777777" w:rsidR="007C736D" w:rsidRDefault="00662CFB">
      <w:pPr>
        <w:spacing w:line="360" w:lineRule="auto"/>
        <w:ind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15065478" w14:textId="77777777" w:rsidR="007C736D" w:rsidRDefault="00662CFB">
      <w:pPr>
        <w:spacing w:line="360" w:lineRule="auto"/>
        <w:ind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7AF97C21" w14:textId="77777777" w:rsidR="007C736D" w:rsidRDefault="00662CFB">
      <w:pPr>
        <w:spacing w:line="360" w:lineRule="auto"/>
        <w:ind w:firstLine="480"/>
        <w:rPr>
          <w:bCs/>
          <w:sz w:val="24"/>
        </w:rPr>
      </w:pPr>
      <w:r>
        <w:rPr>
          <w:bCs/>
          <w:sz w:val="24"/>
        </w:rPr>
        <w:t>（</w:t>
      </w:r>
      <w:r>
        <w:rPr>
          <w:bCs/>
          <w:sz w:val="24"/>
        </w:rPr>
        <w:t>6</w:t>
      </w:r>
      <w:r>
        <w:rPr>
          <w:bCs/>
          <w:sz w:val="24"/>
        </w:rPr>
        <w:t>）查阅或者复制公开披露的基金信息资料；</w:t>
      </w:r>
    </w:p>
    <w:p w14:paraId="34ACD218" w14:textId="77777777" w:rsidR="007C736D" w:rsidRDefault="00662CFB">
      <w:pPr>
        <w:spacing w:line="360" w:lineRule="auto"/>
        <w:ind w:firstLine="480"/>
        <w:rPr>
          <w:bCs/>
          <w:sz w:val="24"/>
        </w:rPr>
      </w:pPr>
      <w:r>
        <w:rPr>
          <w:bCs/>
          <w:sz w:val="24"/>
        </w:rPr>
        <w:t>（</w:t>
      </w:r>
      <w:r>
        <w:rPr>
          <w:bCs/>
          <w:sz w:val="24"/>
        </w:rPr>
        <w:t>7</w:t>
      </w:r>
      <w:r>
        <w:rPr>
          <w:bCs/>
          <w:sz w:val="24"/>
        </w:rPr>
        <w:t>）监督基金管理人的投资运作；</w:t>
      </w:r>
    </w:p>
    <w:p w14:paraId="30C7C52B" w14:textId="77777777" w:rsidR="007C736D" w:rsidRDefault="00662CFB">
      <w:pPr>
        <w:spacing w:line="360" w:lineRule="auto"/>
        <w:ind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47232D44" w14:textId="77777777" w:rsidR="007C736D" w:rsidRDefault="00662CFB">
      <w:pPr>
        <w:spacing w:line="360" w:lineRule="auto"/>
        <w:ind w:firstLine="480"/>
        <w:rPr>
          <w:bCs/>
          <w:sz w:val="24"/>
        </w:rPr>
      </w:pPr>
      <w:r>
        <w:rPr>
          <w:bCs/>
          <w:sz w:val="24"/>
        </w:rPr>
        <w:t>（</w:t>
      </w:r>
      <w:r>
        <w:rPr>
          <w:bCs/>
          <w:sz w:val="24"/>
        </w:rPr>
        <w:t>9</w:t>
      </w:r>
      <w:r>
        <w:rPr>
          <w:bCs/>
          <w:sz w:val="24"/>
        </w:rPr>
        <w:t>）法律法规及中国证监会规定的和《基金合同》约定的其他权利。</w:t>
      </w:r>
    </w:p>
    <w:p w14:paraId="76EEF3E1" w14:textId="77777777" w:rsidR="007C736D" w:rsidRDefault="00662CFB">
      <w:pPr>
        <w:spacing w:line="360" w:lineRule="auto"/>
        <w:ind w:firstLine="480"/>
        <w:rPr>
          <w:bCs/>
          <w:sz w:val="24"/>
        </w:rPr>
      </w:pPr>
      <w:r>
        <w:rPr>
          <w:bCs/>
          <w:sz w:val="24"/>
        </w:rPr>
        <w:t>2</w:t>
      </w:r>
      <w:r>
        <w:rPr>
          <w:bCs/>
          <w:sz w:val="24"/>
        </w:rPr>
        <w:t>、根据《基金法》、《运作办法》及其他有关规定，基金份额持有人的义务包括但不限于：</w:t>
      </w:r>
    </w:p>
    <w:p w14:paraId="67C0B8D5" w14:textId="77777777" w:rsidR="007C736D" w:rsidRDefault="00662CFB">
      <w:pPr>
        <w:spacing w:line="360" w:lineRule="auto"/>
        <w:ind w:firstLine="480"/>
        <w:rPr>
          <w:bCs/>
          <w:sz w:val="24"/>
        </w:rPr>
      </w:pPr>
      <w:r>
        <w:rPr>
          <w:bCs/>
          <w:sz w:val="24"/>
        </w:rPr>
        <w:t>（</w:t>
      </w:r>
      <w:r>
        <w:rPr>
          <w:bCs/>
          <w:sz w:val="24"/>
        </w:rPr>
        <w:t>1</w:t>
      </w:r>
      <w:r>
        <w:rPr>
          <w:bCs/>
          <w:sz w:val="24"/>
        </w:rPr>
        <w:t>）认真阅读并遵守《基金合同》</w:t>
      </w:r>
      <w:r>
        <w:rPr>
          <w:rFonts w:hint="eastAsia"/>
          <w:bCs/>
          <w:sz w:val="24"/>
        </w:rPr>
        <w:t>、招募说明书、基金产品资料概要等信息披露文件</w:t>
      </w:r>
      <w:r>
        <w:rPr>
          <w:bCs/>
          <w:sz w:val="24"/>
        </w:rPr>
        <w:t>；</w:t>
      </w:r>
    </w:p>
    <w:p w14:paraId="699F5DC2" w14:textId="77777777" w:rsidR="007C736D" w:rsidRDefault="00662CFB">
      <w:pPr>
        <w:spacing w:line="360" w:lineRule="auto"/>
        <w:ind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603ED27F" w14:textId="77777777" w:rsidR="007C736D" w:rsidRDefault="00662CFB">
      <w:pPr>
        <w:spacing w:line="360" w:lineRule="auto"/>
        <w:ind w:firstLine="480"/>
        <w:rPr>
          <w:bCs/>
          <w:sz w:val="24"/>
        </w:rPr>
      </w:pPr>
      <w:r>
        <w:rPr>
          <w:bCs/>
          <w:sz w:val="24"/>
        </w:rPr>
        <w:t>（</w:t>
      </w:r>
      <w:r>
        <w:rPr>
          <w:bCs/>
          <w:sz w:val="24"/>
        </w:rPr>
        <w:t>3</w:t>
      </w:r>
      <w:r>
        <w:rPr>
          <w:bCs/>
          <w:sz w:val="24"/>
        </w:rPr>
        <w:t>）关注基金信息披露，及时行使权利和履行义务；</w:t>
      </w:r>
    </w:p>
    <w:p w14:paraId="66E07EF1" w14:textId="77777777" w:rsidR="007C736D" w:rsidRDefault="00662CFB">
      <w:pPr>
        <w:spacing w:line="360" w:lineRule="auto"/>
        <w:ind w:firstLine="480"/>
        <w:rPr>
          <w:bCs/>
          <w:sz w:val="24"/>
        </w:rPr>
      </w:pPr>
      <w:r>
        <w:rPr>
          <w:bCs/>
          <w:sz w:val="24"/>
        </w:rPr>
        <w:t>（</w:t>
      </w:r>
      <w:r>
        <w:rPr>
          <w:bCs/>
          <w:sz w:val="24"/>
        </w:rPr>
        <w:t>4</w:t>
      </w:r>
      <w:r>
        <w:rPr>
          <w:bCs/>
          <w:sz w:val="24"/>
        </w:rPr>
        <w:t>）交纳基金认购、申购款项及法律法规和《基金合同》所规定的费用；</w:t>
      </w:r>
    </w:p>
    <w:p w14:paraId="16A1932A" w14:textId="77777777" w:rsidR="007C736D" w:rsidRDefault="00662CFB">
      <w:pPr>
        <w:spacing w:line="360" w:lineRule="auto"/>
        <w:ind w:firstLine="480"/>
        <w:rPr>
          <w:bCs/>
          <w:sz w:val="24"/>
        </w:rPr>
      </w:pPr>
      <w:r>
        <w:rPr>
          <w:bCs/>
          <w:sz w:val="24"/>
        </w:rPr>
        <w:t>（</w:t>
      </w:r>
      <w:r>
        <w:rPr>
          <w:bCs/>
          <w:sz w:val="24"/>
        </w:rPr>
        <w:t>5</w:t>
      </w:r>
      <w:r>
        <w:rPr>
          <w:bCs/>
          <w:sz w:val="24"/>
        </w:rPr>
        <w:t>）在其持有的基金份额范围内，承担基金亏损或者《基金合同》终止的有限责任；</w:t>
      </w:r>
    </w:p>
    <w:p w14:paraId="47A053A2" w14:textId="77777777" w:rsidR="007C736D" w:rsidRDefault="00662CFB">
      <w:pPr>
        <w:spacing w:line="360" w:lineRule="auto"/>
        <w:ind w:firstLine="480"/>
        <w:rPr>
          <w:bCs/>
          <w:sz w:val="24"/>
        </w:rPr>
      </w:pPr>
      <w:r>
        <w:rPr>
          <w:bCs/>
          <w:sz w:val="24"/>
        </w:rPr>
        <w:t>（</w:t>
      </w:r>
      <w:r>
        <w:rPr>
          <w:bCs/>
          <w:sz w:val="24"/>
        </w:rPr>
        <w:t>6</w:t>
      </w:r>
      <w:r>
        <w:rPr>
          <w:bCs/>
          <w:sz w:val="24"/>
        </w:rPr>
        <w:t>）不从事任何有损基金及其他《基金合同》</w:t>
      </w:r>
      <w:r>
        <w:rPr>
          <w:bCs/>
          <w:sz w:val="24"/>
        </w:rPr>
        <w:t>当事人合法权益的活动；</w:t>
      </w:r>
    </w:p>
    <w:p w14:paraId="75112622" w14:textId="77777777" w:rsidR="007C736D" w:rsidRDefault="00662CFB">
      <w:pPr>
        <w:spacing w:line="360" w:lineRule="auto"/>
        <w:ind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14:paraId="3BF7AF98" w14:textId="77777777" w:rsidR="007C736D" w:rsidRDefault="00662CFB">
      <w:pPr>
        <w:spacing w:line="360" w:lineRule="auto"/>
        <w:ind w:firstLine="480"/>
        <w:rPr>
          <w:bCs/>
          <w:sz w:val="24"/>
        </w:rPr>
      </w:pPr>
      <w:r>
        <w:rPr>
          <w:bCs/>
          <w:sz w:val="24"/>
        </w:rPr>
        <w:lastRenderedPageBreak/>
        <w:t>（</w:t>
      </w:r>
      <w:r>
        <w:rPr>
          <w:bCs/>
          <w:sz w:val="24"/>
        </w:rPr>
        <w:t>8</w:t>
      </w:r>
      <w:r>
        <w:rPr>
          <w:bCs/>
          <w:sz w:val="24"/>
        </w:rPr>
        <w:t>）返还在基金交易过程中因任何原因获得的不当得利；</w:t>
      </w:r>
    </w:p>
    <w:p w14:paraId="63B0A562" w14:textId="77777777" w:rsidR="007C736D" w:rsidRDefault="00662CFB">
      <w:pPr>
        <w:spacing w:line="360" w:lineRule="auto"/>
        <w:ind w:firstLineChars="200" w:firstLine="480"/>
        <w:rPr>
          <w:bCs/>
          <w:sz w:val="24"/>
        </w:rPr>
      </w:pPr>
      <w:r>
        <w:rPr>
          <w:rFonts w:hint="eastAsia"/>
          <w:bCs/>
          <w:sz w:val="24"/>
        </w:rPr>
        <w:t>（</w:t>
      </w:r>
      <w:r>
        <w:rPr>
          <w:bCs/>
          <w:sz w:val="24"/>
        </w:rPr>
        <w:t>9</w:t>
      </w:r>
      <w:r>
        <w:rPr>
          <w:rFonts w:hint="eastAsia"/>
          <w:bCs/>
          <w:sz w:val="24"/>
        </w:rPr>
        <w:t>）</w:t>
      </w:r>
      <w:r>
        <w:rPr>
          <w:bCs/>
          <w:sz w:val="24"/>
        </w:rPr>
        <w:t>法律法规及中国证监会规定的和《基金合同》约定的其他义务。</w:t>
      </w:r>
    </w:p>
    <w:p w14:paraId="6E5CDE46" w14:textId="77777777" w:rsidR="007C736D" w:rsidRDefault="00662CFB">
      <w:pPr>
        <w:pStyle w:val="1110"/>
        <w:spacing w:before="0" w:after="0"/>
        <w:jc w:val="center"/>
        <w:rPr>
          <w:rFonts w:ascii="Times New Roman"/>
          <w:b w:val="0"/>
          <w:color w:val="auto"/>
          <w:sz w:val="30"/>
        </w:rPr>
      </w:pPr>
      <w:r>
        <w:rPr>
          <w:rFonts w:ascii="Times New Roman"/>
          <w:b w:val="0"/>
          <w:color w:val="auto"/>
        </w:rPr>
        <w:br w:type="page"/>
      </w:r>
      <w:bookmarkStart w:id="167" w:name="_Toc136360677"/>
      <w:bookmarkStart w:id="168" w:name="_Toc123051454"/>
      <w:bookmarkStart w:id="169" w:name="_Toc10650"/>
      <w:bookmarkStart w:id="170" w:name="_Toc139991738"/>
      <w:bookmarkStart w:id="171" w:name="_Toc9706"/>
      <w:bookmarkStart w:id="172" w:name="_Toc25783"/>
      <w:bookmarkStart w:id="173" w:name="_Toc7058"/>
      <w:bookmarkStart w:id="174" w:name="_Toc3771"/>
      <w:bookmarkStart w:id="175" w:name="_Toc123112236"/>
      <w:bookmarkStart w:id="176" w:name="_Toc18567"/>
      <w:bookmarkStart w:id="177" w:name="_Toc98560354"/>
      <w:bookmarkStart w:id="178" w:name="_Toc25072217"/>
      <w:bookmarkStart w:id="179" w:name="_Toc79392583"/>
      <w:bookmarkStart w:id="180" w:name="_Toc4559"/>
      <w:bookmarkStart w:id="181" w:name="_Toc123102455"/>
      <w:bookmarkStart w:id="182" w:name="_Toc6447"/>
      <w:bookmarkStart w:id="183" w:name="_Toc141703888"/>
      <w:bookmarkStart w:id="184" w:name="_Toc11030"/>
      <w:bookmarkStart w:id="185" w:name="_Toc3321"/>
      <w:r>
        <w:rPr>
          <w:rFonts w:ascii="Times New Roman" w:hint="eastAsia"/>
          <w:b w:val="0"/>
          <w:color w:val="auto"/>
          <w:sz w:val="30"/>
        </w:rPr>
        <w:lastRenderedPageBreak/>
        <w:t>第八部分</w:t>
      </w:r>
      <w:r>
        <w:rPr>
          <w:rFonts w:ascii="Times New Roman" w:hint="eastAsia"/>
          <w:b w:val="0"/>
          <w:color w:val="auto"/>
          <w:sz w:val="30"/>
        </w:rPr>
        <w:t xml:space="preserve"> </w:t>
      </w:r>
      <w:r>
        <w:rPr>
          <w:rFonts w:ascii="Times New Roman"/>
          <w:b w:val="0"/>
          <w:color w:val="auto"/>
          <w:sz w:val="30"/>
        </w:rPr>
        <w:t xml:space="preserve"> </w:t>
      </w:r>
      <w:r>
        <w:rPr>
          <w:rFonts w:ascii="Times New Roman" w:hint="eastAsia"/>
          <w:b w:val="0"/>
          <w:color w:val="auto"/>
          <w:sz w:val="30"/>
        </w:rPr>
        <w:t>基金份额持有人大会</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587A90B8" w14:textId="77777777" w:rsidR="007C736D" w:rsidRDefault="007C736D">
      <w:pPr>
        <w:tabs>
          <w:tab w:val="left" w:pos="1080"/>
        </w:tabs>
        <w:spacing w:line="360" w:lineRule="auto"/>
        <w:ind w:left="1076" w:hanging="658"/>
        <w:rPr>
          <w:bCs/>
          <w:sz w:val="24"/>
        </w:rPr>
      </w:pPr>
    </w:p>
    <w:p w14:paraId="3FF8463A" w14:textId="77777777" w:rsidR="007C736D" w:rsidRDefault="00662CFB">
      <w:pPr>
        <w:spacing w:line="360" w:lineRule="auto"/>
        <w:ind w:firstLine="480"/>
        <w:rPr>
          <w:bCs/>
          <w:sz w:val="24"/>
        </w:rPr>
      </w:pPr>
      <w:r>
        <w:rPr>
          <w:bCs/>
          <w:sz w:val="24"/>
        </w:rPr>
        <w:t>基金份额持有人大会由基金份额持有人组成，基金份额持有人的合法授权代表有权代表基金份额持有人出席会议并表决。</w:t>
      </w:r>
      <w:r>
        <w:rPr>
          <w:rFonts w:hint="eastAsia"/>
          <w:bCs/>
          <w:sz w:val="24"/>
        </w:rPr>
        <w:t>除法律法规另有规定或基金合同另有约定外，</w:t>
      </w:r>
      <w:r>
        <w:rPr>
          <w:bCs/>
          <w:sz w:val="24"/>
        </w:rPr>
        <w:t>基金份额持有人持有的每一基金份额拥有平等的投票权。</w:t>
      </w:r>
      <w:r>
        <w:rPr>
          <w:rFonts w:hint="eastAsia"/>
          <w:bCs/>
          <w:sz w:val="24"/>
        </w:rPr>
        <w:t>若将来法律法规对基金份额持有人大会另有规定的，以届时有效的法律法规为准。</w:t>
      </w:r>
    </w:p>
    <w:p w14:paraId="2EA9D5BC" w14:textId="77777777" w:rsidR="007C736D" w:rsidRDefault="00662CFB">
      <w:pPr>
        <w:spacing w:line="360" w:lineRule="auto"/>
        <w:ind w:firstLine="480"/>
        <w:rPr>
          <w:bCs/>
          <w:sz w:val="24"/>
        </w:rPr>
      </w:pPr>
      <w:bookmarkStart w:id="186" w:name="_Toc15641220"/>
      <w:bookmarkStart w:id="187" w:name="_Toc57530243"/>
      <w:bookmarkStart w:id="188" w:name="_Toc79392584"/>
      <w:r>
        <w:rPr>
          <w:rFonts w:hint="eastAsia"/>
          <w:bCs/>
          <w:sz w:val="24"/>
        </w:rPr>
        <w:t>本基金份额持有人大会不设日常机构。在本基金存续期内，根据本基金的运作需要，基金份额持有人大会可以增设日常机构，日常机构的设立与运作应当根据相关法律法规和中国证监会的规定进行。</w:t>
      </w:r>
    </w:p>
    <w:p w14:paraId="3F0828E4" w14:textId="77777777" w:rsidR="007C736D" w:rsidRDefault="00662CFB">
      <w:pPr>
        <w:spacing w:line="360" w:lineRule="auto"/>
        <w:ind w:firstLine="480"/>
        <w:rPr>
          <w:bCs/>
          <w:sz w:val="24"/>
        </w:rPr>
      </w:pPr>
      <w:r>
        <w:rPr>
          <w:bCs/>
          <w:sz w:val="24"/>
        </w:rPr>
        <w:t>一、召开事由</w:t>
      </w:r>
      <w:bookmarkEnd w:id="186"/>
      <w:bookmarkEnd w:id="187"/>
      <w:bookmarkEnd w:id="188"/>
    </w:p>
    <w:p w14:paraId="023D9941" w14:textId="77777777" w:rsidR="007C736D" w:rsidRDefault="00662CFB">
      <w:pPr>
        <w:spacing w:line="440" w:lineRule="atLeast"/>
        <w:ind w:firstLine="480"/>
        <w:rPr>
          <w:bCs/>
          <w:sz w:val="24"/>
        </w:rPr>
      </w:pPr>
      <w:r>
        <w:rPr>
          <w:bCs/>
          <w:sz w:val="24"/>
        </w:rPr>
        <w:t>1</w:t>
      </w:r>
      <w:r>
        <w:rPr>
          <w:bCs/>
          <w:sz w:val="24"/>
        </w:rPr>
        <w:t>、</w:t>
      </w:r>
      <w:r>
        <w:rPr>
          <w:rFonts w:hint="eastAsia"/>
          <w:bCs/>
          <w:sz w:val="24"/>
        </w:rPr>
        <w:t>除法律法规、监管机构另有规定或基金合同另有约定的，</w:t>
      </w:r>
      <w:r>
        <w:rPr>
          <w:bCs/>
          <w:sz w:val="24"/>
        </w:rPr>
        <w:t>当出现或需要决定下列事由之一的，应当召开基金份额持有人大会：</w:t>
      </w:r>
    </w:p>
    <w:p w14:paraId="0E681B43" w14:textId="77777777" w:rsidR="007C736D" w:rsidRDefault="00662CFB">
      <w:pPr>
        <w:spacing w:line="440" w:lineRule="atLeast"/>
        <w:ind w:firstLine="480"/>
        <w:rPr>
          <w:bCs/>
          <w:sz w:val="24"/>
        </w:rPr>
      </w:pPr>
      <w:r>
        <w:rPr>
          <w:bCs/>
          <w:sz w:val="24"/>
        </w:rPr>
        <w:t>（</w:t>
      </w:r>
      <w:r>
        <w:rPr>
          <w:bCs/>
          <w:sz w:val="24"/>
        </w:rPr>
        <w:t>1</w:t>
      </w:r>
      <w:r>
        <w:rPr>
          <w:bCs/>
          <w:sz w:val="24"/>
        </w:rPr>
        <w:t>）</w:t>
      </w:r>
      <w:r>
        <w:rPr>
          <w:rFonts w:hint="eastAsia"/>
          <w:bCs/>
          <w:sz w:val="24"/>
        </w:rPr>
        <w:t>终止《基金合同》；</w:t>
      </w:r>
    </w:p>
    <w:p w14:paraId="263D1C46" w14:textId="77777777" w:rsidR="007C736D" w:rsidRDefault="00662CFB">
      <w:pPr>
        <w:spacing w:line="440" w:lineRule="atLeast"/>
        <w:ind w:firstLine="480"/>
        <w:rPr>
          <w:bCs/>
          <w:sz w:val="24"/>
        </w:rPr>
      </w:pPr>
      <w:r>
        <w:rPr>
          <w:bCs/>
          <w:sz w:val="24"/>
        </w:rPr>
        <w:t>（</w:t>
      </w:r>
      <w:r>
        <w:rPr>
          <w:bCs/>
          <w:sz w:val="24"/>
        </w:rPr>
        <w:t>2</w:t>
      </w:r>
      <w:r>
        <w:rPr>
          <w:bCs/>
          <w:sz w:val="24"/>
        </w:rPr>
        <w:t>）更换基金管理人；</w:t>
      </w:r>
    </w:p>
    <w:p w14:paraId="7B568877" w14:textId="77777777" w:rsidR="007C736D" w:rsidRDefault="00662CFB">
      <w:pPr>
        <w:spacing w:line="440" w:lineRule="atLeast"/>
        <w:ind w:firstLine="480"/>
        <w:rPr>
          <w:bCs/>
          <w:sz w:val="24"/>
        </w:rPr>
      </w:pPr>
      <w:r>
        <w:rPr>
          <w:bCs/>
          <w:sz w:val="24"/>
        </w:rPr>
        <w:t>（</w:t>
      </w:r>
      <w:r>
        <w:rPr>
          <w:bCs/>
          <w:sz w:val="24"/>
        </w:rPr>
        <w:t>3</w:t>
      </w:r>
      <w:r>
        <w:rPr>
          <w:bCs/>
          <w:sz w:val="24"/>
        </w:rPr>
        <w:t>）更换基金托管人；</w:t>
      </w:r>
    </w:p>
    <w:p w14:paraId="37DC6584" w14:textId="77777777" w:rsidR="007C736D" w:rsidRDefault="00662CFB">
      <w:pPr>
        <w:spacing w:line="440" w:lineRule="atLeast"/>
        <w:ind w:firstLine="480"/>
        <w:rPr>
          <w:bCs/>
          <w:sz w:val="24"/>
        </w:rPr>
      </w:pPr>
      <w:r>
        <w:rPr>
          <w:bCs/>
          <w:sz w:val="24"/>
        </w:rPr>
        <w:t>（</w:t>
      </w:r>
      <w:r>
        <w:rPr>
          <w:bCs/>
          <w:sz w:val="24"/>
        </w:rPr>
        <w:t>4</w:t>
      </w:r>
      <w:r>
        <w:rPr>
          <w:bCs/>
          <w:sz w:val="24"/>
        </w:rPr>
        <w:t>）转换基金运作方式；</w:t>
      </w:r>
    </w:p>
    <w:p w14:paraId="6D0ABA87" w14:textId="77777777" w:rsidR="007C736D" w:rsidRDefault="00662CFB">
      <w:pPr>
        <w:spacing w:line="440" w:lineRule="atLeast"/>
        <w:ind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或提高销售服务费率</w:t>
      </w:r>
      <w:r>
        <w:rPr>
          <w:bCs/>
          <w:sz w:val="24"/>
        </w:rPr>
        <w:t>；</w:t>
      </w:r>
    </w:p>
    <w:p w14:paraId="6B138A59" w14:textId="77777777" w:rsidR="007C736D" w:rsidRDefault="00662CFB">
      <w:pPr>
        <w:spacing w:line="440" w:lineRule="atLeast"/>
        <w:ind w:firstLine="480"/>
        <w:rPr>
          <w:bCs/>
          <w:sz w:val="24"/>
        </w:rPr>
      </w:pPr>
      <w:r>
        <w:rPr>
          <w:bCs/>
          <w:sz w:val="24"/>
        </w:rPr>
        <w:t>（</w:t>
      </w:r>
      <w:r>
        <w:rPr>
          <w:bCs/>
          <w:sz w:val="24"/>
        </w:rPr>
        <w:t>6</w:t>
      </w:r>
      <w:r>
        <w:rPr>
          <w:bCs/>
          <w:sz w:val="24"/>
        </w:rPr>
        <w:t>）变更基金类别；</w:t>
      </w:r>
    </w:p>
    <w:p w14:paraId="18FF7BE4" w14:textId="77777777" w:rsidR="007C736D" w:rsidRDefault="00662CFB">
      <w:pPr>
        <w:spacing w:line="440" w:lineRule="atLeast"/>
        <w:ind w:firstLine="480"/>
        <w:rPr>
          <w:bCs/>
          <w:sz w:val="24"/>
        </w:rPr>
      </w:pPr>
      <w:r>
        <w:rPr>
          <w:bCs/>
          <w:sz w:val="24"/>
        </w:rPr>
        <w:t>（</w:t>
      </w:r>
      <w:r>
        <w:rPr>
          <w:rFonts w:hint="eastAsia"/>
          <w:bCs/>
          <w:sz w:val="24"/>
        </w:rPr>
        <w:t>7</w:t>
      </w:r>
      <w:r>
        <w:rPr>
          <w:bCs/>
          <w:sz w:val="24"/>
        </w:rPr>
        <w:t>）本基金与其他基金的合并；</w:t>
      </w:r>
    </w:p>
    <w:p w14:paraId="339C2AF7" w14:textId="77777777" w:rsidR="007C736D" w:rsidRDefault="00662CFB">
      <w:pPr>
        <w:spacing w:line="440" w:lineRule="atLeast"/>
        <w:ind w:firstLine="480"/>
        <w:rPr>
          <w:bCs/>
          <w:sz w:val="24"/>
        </w:rPr>
      </w:pPr>
      <w:r>
        <w:rPr>
          <w:bCs/>
          <w:sz w:val="24"/>
        </w:rPr>
        <w:t>（</w:t>
      </w:r>
      <w:r>
        <w:rPr>
          <w:bCs/>
          <w:sz w:val="24"/>
        </w:rPr>
        <w:t>8</w:t>
      </w:r>
      <w:r>
        <w:rPr>
          <w:bCs/>
          <w:sz w:val="24"/>
        </w:rPr>
        <w:t>）变更基金投资目标、范围或策略；</w:t>
      </w:r>
    </w:p>
    <w:p w14:paraId="31A58CA4" w14:textId="77777777" w:rsidR="007C736D" w:rsidRDefault="00662CFB">
      <w:pPr>
        <w:spacing w:line="440" w:lineRule="atLeast"/>
        <w:ind w:firstLine="480"/>
        <w:rPr>
          <w:bCs/>
          <w:sz w:val="24"/>
        </w:rPr>
      </w:pPr>
      <w:r>
        <w:rPr>
          <w:bCs/>
          <w:sz w:val="24"/>
        </w:rPr>
        <w:t>（</w:t>
      </w:r>
      <w:r>
        <w:rPr>
          <w:bCs/>
          <w:sz w:val="24"/>
        </w:rPr>
        <w:t>9</w:t>
      </w:r>
      <w:r>
        <w:rPr>
          <w:bCs/>
          <w:sz w:val="24"/>
        </w:rPr>
        <w:t>）变更基金份额持有人大会程序；</w:t>
      </w:r>
    </w:p>
    <w:p w14:paraId="2557B95C" w14:textId="77777777" w:rsidR="007C736D" w:rsidRDefault="00662CFB">
      <w:pPr>
        <w:spacing w:line="440" w:lineRule="atLeast"/>
        <w:ind w:firstLine="480"/>
        <w:rPr>
          <w:bCs/>
          <w:sz w:val="24"/>
        </w:rPr>
      </w:pPr>
      <w:r>
        <w:rPr>
          <w:bCs/>
          <w:sz w:val="24"/>
        </w:rPr>
        <w:t>（</w:t>
      </w:r>
      <w:r>
        <w:rPr>
          <w:bCs/>
          <w:sz w:val="24"/>
        </w:rPr>
        <w:t>10</w:t>
      </w:r>
      <w:r>
        <w:rPr>
          <w:bCs/>
          <w:sz w:val="24"/>
        </w:rPr>
        <w:t>）基金管理人或基金托管人要求召开基金份额持有人大会；</w:t>
      </w:r>
    </w:p>
    <w:p w14:paraId="0946E08A" w14:textId="77777777" w:rsidR="007C736D" w:rsidRDefault="00662CFB">
      <w:pPr>
        <w:spacing w:line="440" w:lineRule="atLeast"/>
        <w:ind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17ABD887" w14:textId="77777777" w:rsidR="007C736D" w:rsidRDefault="00662CFB">
      <w:pPr>
        <w:spacing w:line="440" w:lineRule="atLeast"/>
        <w:ind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04AADF19" w14:textId="77777777" w:rsidR="007C736D" w:rsidRDefault="00662CFB">
      <w:pPr>
        <w:spacing w:line="440" w:lineRule="atLeast"/>
        <w:ind w:firstLine="480"/>
        <w:rPr>
          <w:bCs/>
          <w:sz w:val="24"/>
        </w:rPr>
      </w:pPr>
      <w:r>
        <w:rPr>
          <w:bCs/>
          <w:sz w:val="24"/>
        </w:rPr>
        <w:t>（</w:t>
      </w:r>
      <w:r>
        <w:rPr>
          <w:bCs/>
          <w:sz w:val="24"/>
        </w:rPr>
        <w:t>13</w:t>
      </w:r>
      <w:r>
        <w:rPr>
          <w:bCs/>
          <w:sz w:val="24"/>
        </w:rPr>
        <w:t>）法律法规、《基金合同》或中国证监会规定的其他应当召开基金份额持有人大会的事项。</w:t>
      </w:r>
    </w:p>
    <w:p w14:paraId="49F7DAC1" w14:textId="77777777" w:rsidR="007C736D" w:rsidRDefault="00662CFB">
      <w:pPr>
        <w:spacing w:line="440" w:lineRule="atLeast"/>
        <w:ind w:firstLine="480"/>
        <w:rPr>
          <w:bCs/>
          <w:sz w:val="24"/>
        </w:rPr>
      </w:pPr>
      <w:r>
        <w:rPr>
          <w:bCs/>
          <w:sz w:val="24"/>
        </w:rPr>
        <w:t>2</w:t>
      </w:r>
      <w:r>
        <w:rPr>
          <w:bCs/>
          <w:sz w:val="24"/>
        </w:rPr>
        <w:t>、</w:t>
      </w:r>
      <w:r>
        <w:rPr>
          <w:rFonts w:hint="eastAsia"/>
          <w:bCs/>
          <w:sz w:val="24"/>
        </w:rPr>
        <w:t>在法律法规规定和《基金合同</w:t>
      </w:r>
      <w:r>
        <w:rPr>
          <w:rFonts w:hint="eastAsia"/>
          <w:bCs/>
          <w:sz w:val="24"/>
        </w:rPr>
        <w:t>》约定的范围内且对基金份额持有人利益无实质性不利影响的前提下，以下情况可由基金管理人和基金托管人协商后修</w:t>
      </w:r>
      <w:r>
        <w:rPr>
          <w:rFonts w:hint="eastAsia"/>
          <w:bCs/>
          <w:sz w:val="24"/>
        </w:rPr>
        <w:lastRenderedPageBreak/>
        <w:t>改，不需召开基金份额持有人大会：</w:t>
      </w:r>
    </w:p>
    <w:p w14:paraId="2B1FD2E2" w14:textId="77777777" w:rsidR="007C736D" w:rsidRDefault="00662CFB">
      <w:pPr>
        <w:spacing w:line="360" w:lineRule="auto"/>
        <w:ind w:firstLine="480"/>
        <w:rPr>
          <w:bCs/>
          <w:sz w:val="24"/>
        </w:rPr>
      </w:pPr>
      <w:r>
        <w:rPr>
          <w:bCs/>
          <w:sz w:val="24"/>
        </w:rPr>
        <w:t>（</w:t>
      </w:r>
      <w:r>
        <w:rPr>
          <w:rFonts w:hint="eastAsia"/>
          <w:bCs/>
          <w:sz w:val="24"/>
        </w:rPr>
        <w:t>1</w:t>
      </w:r>
      <w:r>
        <w:rPr>
          <w:bCs/>
          <w:sz w:val="24"/>
        </w:rPr>
        <w:t>）法律法规要求增加的基金费用的收取；</w:t>
      </w:r>
    </w:p>
    <w:p w14:paraId="071A938B" w14:textId="54C9280E" w:rsidR="007C736D" w:rsidRDefault="00662CFB">
      <w:pPr>
        <w:spacing w:line="360" w:lineRule="auto"/>
        <w:ind w:firstLine="480"/>
        <w:rPr>
          <w:bCs/>
          <w:sz w:val="24"/>
        </w:rPr>
      </w:pPr>
      <w:r>
        <w:rPr>
          <w:bCs/>
          <w:sz w:val="24"/>
        </w:rPr>
        <w:t>（</w:t>
      </w:r>
      <w:r>
        <w:rPr>
          <w:rFonts w:hint="eastAsia"/>
          <w:bCs/>
          <w:sz w:val="24"/>
        </w:rPr>
        <w:t>2</w:t>
      </w:r>
      <w:r>
        <w:rPr>
          <w:bCs/>
          <w:sz w:val="24"/>
        </w:rPr>
        <w:t>）</w:t>
      </w:r>
      <w:r>
        <w:rPr>
          <w:rFonts w:hint="eastAsia"/>
          <w:bCs/>
          <w:sz w:val="24"/>
        </w:rPr>
        <w:t>调整本基金的申购费率、</w:t>
      </w:r>
      <w:r>
        <w:rPr>
          <w:rFonts w:hint="eastAsia"/>
          <w:bCs/>
          <w:sz w:val="24"/>
        </w:rPr>
        <w:t>调</w:t>
      </w:r>
      <w:bookmarkStart w:id="189" w:name="_GoBack"/>
      <w:bookmarkEnd w:id="189"/>
      <w:r>
        <w:rPr>
          <w:rFonts w:hint="eastAsia"/>
          <w:bCs/>
          <w:sz w:val="24"/>
        </w:rPr>
        <w:t>低销售服务费率</w:t>
      </w:r>
      <w:r>
        <w:rPr>
          <w:bCs/>
          <w:sz w:val="24"/>
        </w:rPr>
        <w:t>或变更收费方式</w:t>
      </w:r>
      <w:r>
        <w:rPr>
          <w:rFonts w:hint="eastAsia"/>
          <w:bCs/>
          <w:sz w:val="24"/>
        </w:rPr>
        <w:t>或调整基金份额类别设置、对基金份额分类办法及规则进行调整；</w:t>
      </w:r>
    </w:p>
    <w:p w14:paraId="57F4784E" w14:textId="77777777" w:rsidR="007C736D" w:rsidRDefault="00662CFB">
      <w:pPr>
        <w:spacing w:line="360" w:lineRule="auto"/>
        <w:ind w:firstLine="480"/>
        <w:rPr>
          <w:bCs/>
          <w:sz w:val="24"/>
        </w:rPr>
      </w:pPr>
      <w:r>
        <w:rPr>
          <w:bCs/>
          <w:sz w:val="24"/>
        </w:rPr>
        <w:t>（</w:t>
      </w:r>
      <w:r>
        <w:rPr>
          <w:rFonts w:hint="eastAsia"/>
          <w:bCs/>
          <w:sz w:val="24"/>
        </w:rPr>
        <w:t>3</w:t>
      </w:r>
      <w:r>
        <w:rPr>
          <w:bCs/>
          <w:sz w:val="24"/>
        </w:rPr>
        <w:t>）因相应的法律法规发生变动而应当对《基金合同》进行修改；</w:t>
      </w:r>
    </w:p>
    <w:p w14:paraId="133EC1AC" w14:textId="77777777" w:rsidR="007C736D" w:rsidRDefault="00662CFB">
      <w:pPr>
        <w:spacing w:line="360" w:lineRule="auto"/>
        <w:ind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463E6A4F" w14:textId="77777777" w:rsidR="007C736D" w:rsidRDefault="00662CFB">
      <w:pPr>
        <w:spacing w:line="360" w:lineRule="auto"/>
        <w:ind w:firstLine="480"/>
        <w:rPr>
          <w:bCs/>
          <w:sz w:val="24"/>
        </w:rPr>
      </w:pPr>
      <w:r>
        <w:rPr>
          <w:rFonts w:hint="eastAsia"/>
          <w:bCs/>
          <w:sz w:val="24"/>
        </w:rPr>
        <w:t>（</w:t>
      </w:r>
      <w:r>
        <w:rPr>
          <w:rFonts w:hint="eastAsia"/>
          <w:bCs/>
          <w:sz w:val="24"/>
        </w:rPr>
        <w:t>5</w:t>
      </w:r>
      <w:r>
        <w:rPr>
          <w:rFonts w:hint="eastAsia"/>
          <w:bCs/>
          <w:sz w:val="24"/>
        </w:rPr>
        <w:t>）基金管理人、</w:t>
      </w:r>
      <w:r>
        <w:rPr>
          <w:rFonts w:hint="eastAsia"/>
          <w:bCs/>
          <w:sz w:val="24"/>
        </w:rPr>
        <w:t>登记机构、基金销售机构调整有关认购、申购、赎回、转换、基金交易、非交易过户、转托管等业务规则；</w:t>
      </w:r>
    </w:p>
    <w:p w14:paraId="554EA72D" w14:textId="77777777" w:rsidR="007C736D" w:rsidRDefault="00662CFB">
      <w:pPr>
        <w:spacing w:line="360" w:lineRule="auto"/>
        <w:ind w:firstLine="480"/>
        <w:rPr>
          <w:bCs/>
          <w:sz w:val="24"/>
        </w:rPr>
      </w:pPr>
      <w:r>
        <w:rPr>
          <w:rFonts w:hint="eastAsia"/>
          <w:bCs/>
          <w:sz w:val="24"/>
        </w:rPr>
        <w:t>（</w:t>
      </w:r>
      <w:r>
        <w:rPr>
          <w:rFonts w:hint="eastAsia"/>
          <w:bCs/>
          <w:sz w:val="24"/>
        </w:rPr>
        <w:t>6</w:t>
      </w:r>
      <w:r>
        <w:rPr>
          <w:rFonts w:hint="eastAsia"/>
          <w:bCs/>
          <w:sz w:val="24"/>
        </w:rPr>
        <w:t>）基金管理人履行适当程序后，基金推出新业务或服务；</w:t>
      </w:r>
    </w:p>
    <w:p w14:paraId="51AFD7DF" w14:textId="77777777" w:rsidR="007C736D" w:rsidRDefault="00662CFB">
      <w:pPr>
        <w:spacing w:line="360" w:lineRule="auto"/>
        <w:ind w:firstLine="480"/>
        <w:rPr>
          <w:bCs/>
          <w:sz w:val="24"/>
        </w:rPr>
      </w:pPr>
      <w:r>
        <w:rPr>
          <w:bCs/>
          <w:sz w:val="24"/>
        </w:rPr>
        <w:t>（</w:t>
      </w:r>
      <w:r>
        <w:rPr>
          <w:rFonts w:hint="eastAsia"/>
          <w:bCs/>
          <w:sz w:val="24"/>
        </w:rPr>
        <w:t>7</w:t>
      </w:r>
      <w:r>
        <w:rPr>
          <w:bCs/>
          <w:sz w:val="24"/>
        </w:rPr>
        <w:t>）按照法律法规和《基金合同》规定不需召开基金份额持有人大会的其他情形。</w:t>
      </w:r>
    </w:p>
    <w:p w14:paraId="6DAEB8E1" w14:textId="77777777" w:rsidR="007C736D" w:rsidRDefault="00662CFB">
      <w:pPr>
        <w:spacing w:line="360" w:lineRule="auto"/>
        <w:ind w:firstLine="480"/>
        <w:rPr>
          <w:bCs/>
          <w:sz w:val="24"/>
        </w:rPr>
      </w:pPr>
      <w:bookmarkStart w:id="190" w:name="_Toc79392585"/>
      <w:bookmarkStart w:id="191" w:name="_Toc57530244"/>
      <w:bookmarkStart w:id="192" w:name="_Toc15641221"/>
      <w:r>
        <w:rPr>
          <w:bCs/>
          <w:sz w:val="24"/>
        </w:rPr>
        <w:t>二、会议召集人及召集方式</w:t>
      </w:r>
      <w:bookmarkEnd w:id="190"/>
      <w:bookmarkEnd w:id="191"/>
      <w:bookmarkEnd w:id="192"/>
    </w:p>
    <w:p w14:paraId="0C1EDED8" w14:textId="77777777" w:rsidR="007C736D" w:rsidRDefault="00662CFB">
      <w:pPr>
        <w:spacing w:line="360" w:lineRule="auto"/>
        <w:ind w:firstLine="480"/>
        <w:rPr>
          <w:bCs/>
          <w:sz w:val="24"/>
        </w:rPr>
      </w:pPr>
      <w:bookmarkStart w:id="193" w:name="_Toc15641222"/>
      <w:bookmarkStart w:id="194" w:name="_Toc57530245"/>
      <w:r>
        <w:rPr>
          <w:bCs/>
          <w:sz w:val="24"/>
        </w:rPr>
        <w:t>1</w:t>
      </w:r>
      <w:r>
        <w:rPr>
          <w:bCs/>
          <w:sz w:val="24"/>
        </w:rPr>
        <w:t>、除法律法规规定或《基金合同》另有约定外，基金份额持有人大会由基金管理人召集。</w:t>
      </w:r>
    </w:p>
    <w:p w14:paraId="3A055D77" w14:textId="77777777" w:rsidR="007C736D" w:rsidRDefault="00662CFB">
      <w:pPr>
        <w:spacing w:line="360" w:lineRule="auto"/>
        <w:ind w:firstLine="480"/>
        <w:rPr>
          <w:bCs/>
          <w:sz w:val="24"/>
        </w:rPr>
      </w:pPr>
      <w:r>
        <w:rPr>
          <w:bCs/>
          <w:sz w:val="24"/>
        </w:rPr>
        <w:t>2</w:t>
      </w:r>
      <w:r>
        <w:rPr>
          <w:bCs/>
          <w:sz w:val="24"/>
        </w:rPr>
        <w:t>、基金管理人未按规定召集或不能召</w:t>
      </w:r>
      <w:r>
        <w:rPr>
          <w:rFonts w:hint="eastAsia"/>
          <w:bCs/>
          <w:sz w:val="24"/>
        </w:rPr>
        <w:t>集</w:t>
      </w:r>
      <w:r>
        <w:rPr>
          <w:bCs/>
          <w:sz w:val="24"/>
        </w:rPr>
        <w:t>时，由基金托管人召集。</w:t>
      </w:r>
    </w:p>
    <w:p w14:paraId="059BD1EE" w14:textId="77777777" w:rsidR="007C736D" w:rsidRDefault="00662CFB">
      <w:pPr>
        <w:spacing w:line="360" w:lineRule="auto"/>
        <w:ind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14:paraId="60A6DC9C" w14:textId="77777777" w:rsidR="007C736D" w:rsidRDefault="00662CFB">
      <w:pPr>
        <w:spacing w:line="360" w:lineRule="auto"/>
        <w:ind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w:t>
      </w:r>
      <w:r>
        <w:rPr>
          <w:bCs/>
          <w:sz w:val="24"/>
        </w:rPr>
        <w:t>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w:t>
      </w:r>
      <w:r>
        <w:rPr>
          <w:bCs/>
          <w:sz w:val="24"/>
        </w:rPr>
        <w:lastRenderedPageBreak/>
        <w:t>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02894CA8" w14:textId="77777777" w:rsidR="007C736D" w:rsidRDefault="00662CFB">
      <w:pPr>
        <w:spacing w:line="360" w:lineRule="auto"/>
        <w:ind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765A6F72" w14:textId="77777777" w:rsidR="007C736D" w:rsidRDefault="00662CFB">
      <w:pPr>
        <w:spacing w:line="360" w:lineRule="auto"/>
        <w:ind w:firstLine="480"/>
        <w:rPr>
          <w:bCs/>
          <w:sz w:val="24"/>
        </w:rPr>
      </w:pPr>
      <w:r>
        <w:rPr>
          <w:bCs/>
          <w:sz w:val="24"/>
        </w:rPr>
        <w:t>6</w:t>
      </w:r>
      <w:r>
        <w:rPr>
          <w:bCs/>
          <w:sz w:val="24"/>
        </w:rPr>
        <w:t>、基金份额持有人会议的召集人负责选择确定开会时间、地点、方式和权益登记日。</w:t>
      </w:r>
    </w:p>
    <w:p w14:paraId="11DCF5CA" w14:textId="77777777" w:rsidR="007C736D" w:rsidRDefault="00662CFB">
      <w:pPr>
        <w:spacing w:line="360" w:lineRule="auto"/>
        <w:ind w:firstLine="480"/>
        <w:rPr>
          <w:bCs/>
          <w:sz w:val="24"/>
        </w:rPr>
      </w:pPr>
      <w:bookmarkStart w:id="195" w:name="_Toc79392586"/>
      <w:r>
        <w:rPr>
          <w:bCs/>
          <w:sz w:val="24"/>
        </w:rPr>
        <w:t>三、召开基金份额持有人大会的通知时间、通知内容、通知方式</w:t>
      </w:r>
      <w:bookmarkEnd w:id="193"/>
      <w:bookmarkEnd w:id="194"/>
      <w:bookmarkEnd w:id="195"/>
    </w:p>
    <w:p w14:paraId="24EC5639" w14:textId="77777777" w:rsidR="007C736D" w:rsidRDefault="00662CFB">
      <w:pPr>
        <w:spacing w:line="360" w:lineRule="auto"/>
        <w:ind w:firstLine="480"/>
        <w:rPr>
          <w:bCs/>
          <w:sz w:val="24"/>
        </w:rPr>
      </w:pPr>
      <w:r>
        <w:rPr>
          <w:bCs/>
          <w:sz w:val="24"/>
        </w:rPr>
        <w:t>1</w:t>
      </w:r>
      <w:r>
        <w:rPr>
          <w:bCs/>
          <w:sz w:val="24"/>
        </w:rPr>
        <w:t>、召开基金份额持有人大会，召集人应于会议召开前</w:t>
      </w:r>
      <w:r>
        <w:rPr>
          <w:rFonts w:hint="eastAsia"/>
          <w:bCs/>
          <w:sz w:val="24"/>
        </w:rPr>
        <w:t>30</w:t>
      </w:r>
      <w:r>
        <w:rPr>
          <w:bCs/>
          <w:sz w:val="24"/>
        </w:rPr>
        <w:t>日，</w:t>
      </w:r>
      <w:r>
        <w:rPr>
          <w:rFonts w:hint="eastAsia"/>
          <w:bCs/>
          <w:sz w:val="24"/>
        </w:rPr>
        <w:t>在规定媒介</w:t>
      </w:r>
      <w:r>
        <w:rPr>
          <w:bCs/>
          <w:sz w:val="24"/>
        </w:rPr>
        <w:t>公告。基金份</w:t>
      </w:r>
      <w:r>
        <w:rPr>
          <w:bCs/>
          <w:sz w:val="24"/>
        </w:rPr>
        <w:t>额持有人大会通知应至少载明以下内容：</w:t>
      </w:r>
    </w:p>
    <w:p w14:paraId="10689575" w14:textId="77777777" w:rsidR="007C736D" w:rsidRDefault="00662CFB">
      <w:pPr>
        <w:spacing w:line="360" w:lineRule="auto"/>
        <w:ind w:firstLine="480"/>
        <w:rPr>
          <w:bCs/>
          <w:sz w:val="24"/>
        </w:rPr>
      </w:pPr>
      <w:r>
        <w:rPr>
          <w:bCs/>
          <w:sz w:val="24"/>
        </w:rPr>
        <w:t>（</w:t>
      </w:r>
      <w:r>
        <w:rPr>
          <w:bCs/>
          <w:sz w:val="24"/>
        </w:rPr>
        <w:t>1</w:t>
      </w:r>
      <w:r>
        <w:rPr>
          <w:bCs/>
          <w:sz w:val="24"/>
        </w:rPr>
        <w:t>）会议召开的时间、地点和会议形式；</w:t>
      </w:r>
    </w:p>
    <w:p w14:paraId="48137EFE" w14:textId="77777777" w:rsidR="007C736D" w:rsidRDefault="00662CFB">
      <w:pPr>
        <w:spacing w:line="360" w:lineRule="auto"/>
        <w:ind w:firstLine="480"/>
        <w:rPr>
          <w:bCs/>
          <w:sz w:val="24"/>
        </w:rPr>
      </w:pPr>
      <w:r>
        <w:rPr>
          <w:bCs/>
          <w:sz w:val="24"/>
        </w:rPr>
        <w:t>（</w:t>
      </w:r>
      <w:r>
        <w:rPr>
          <w:bCs/>
          <w:sz w:val="24"/>
        </w:rPr>
        <w:t>2</w:t>
      </w:r>
      <w:r>
        <w:rPr>
          <w:bCs/>
          <w:sz w:val="24"/>
        </w:rPr>
        <w:t>）会议拟审议的事项、议事程序和表决方式；</w:t>
      </w:r>
    </w:p>
    <w:p w14:paraId="70EC6188" w14:textId="77777777" w:rsidR="007C736D" w:rsidRDefault="00662CFB">
      <w:pPr>
        <w:spacing w:line="360" w:lineRule="auto"/>
        <w:ind w:firstLine="480"/>
        <w:rPr>
          <w:bCs/>
          <w:sz w:val="24"/>
        </w:rPr>
      </w:pPr>
      <w:r>
        <w:rPr>
          <w:bCs/>
          <w:sz w:val="24"/>
        </w:rPr>
        <w:t>（</w:t>
      </w:r>
      <w:r>
        <w:rPr>
          <w:bCs/>
          <w:sz w:val="24"/>
        </w:rPr>
        <w:t>3</w:t>
      </w:r>
      <w:r>
        <w:rPr>
          <w:bCs/>
          <w:sz w:val="24"/>
        </w:rPr>
        <w:t>）有权出席基金份额持有人大会的基金份额持有人的权益登记日；</w:t>
      </w:r>
    </w:p>
    <w:p w14:paraId="7F3EB296" w14:textId="77777777" w:rsidR="007C736D" w:rsidRDefault="00662CFB">
      <w:pPr>
        <w:spacing w:line="360" w:lineRule="auto"/>
        <w:ind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04454ED5" w14:textId="77777777" w:rsidR="007C736D" w:rsidRDefault="00662CFB">
      <w:pPr>
        <w:spacing w:line="360" w:lineRule="auto"/>
        <w:ind w:firstLine="480"/>
        <w:rPr>
          <w:bCs/>
          <w:sz w:val="24"/>
        </w:rPr>
      </w:pPr>
      <w:r>
        <w:rPr>
          <w:bCs/>
          <w:sz w:val="24"/>
        </w:rPr>
        <w:t>（</w:t>
      </w:r>
      <w:r>
        <w:rPr>
          <w:bCs/>
          <w:sz w:val="24"/>
        </w:rPr>
        <w:t>5</w:t>
      </w:r>
      <w:r>
        <w:rPr>
          <w:bCs/>
          <w:sz w:val="24"/>
        </w:rPr>
        <w:t>）会务常设联系人姓名及联系电话；</w:t>
      </w:r>
    </w:p>
    <w:p w14:paraId="1382FEA7" w14:textId="77777777" w:rsidR="007C736D" w:rsidRDefault="00662CFB">
      <w:pPr>
        <w:spacing w:line="360" w:lineRule="auto"/>
        <w:ind w:firstLine="480"/>
        <w:rPr>
          <w:bCs/>
          <w:sz w:val="24"/>
        </w:rPr>
      </w:pPr>
      <w:r>
        <w:rPr>
          <w:bCs/>
          <w:sz w:val="24"/>
        </w:rPr>
        <w:t>（</w:t>
      </w:r>
      <w:r>
        <w:rPr>
          <w:bCs/>
          <w:sz w:val="24"/>
        </w:rPr>
        <w:t>6</w:t>
      </w:r>
      <w:r>
        <w:rPr>
          <w:bCs/>
          <w:sz w:val="24"/>
        </w:rPr>
        <w:t>）出席会议者必须准备的文件和必须履行的手续；</w:t>
      </w:r>
    </w:p>
    <w:p w14:paraId="3DCEC683" w14:textId="77777777" w:rsidR="007C736D" w:rsidRDefault="00662CFB">
      <w:pPr>
        <w:spacing w:line="360" w:lineRule="auto"/>
        <w:ind w:firstLine="480"/>
        <w:rPr>
          <w:bCs/>
          <w:sz w:val="24"/>
        </w:rPr>
      </w:pPr>
      <w:r>
        <w:rPr>
          <w:bCs/>
          <w:sz w:val="24"/>
        </w:rPr>
        <w:t>（</w:t>
      </w:r>
      <w:r>
        <w:rPr>
          <w:bCs/>
          <w:sz w:val="24"/>
        </w:rPr>
        <w:t>7</w:t>
      </w:r>
      <w:r>
        <w:rPr>
          <w:bCs/>
          <w:sz w:val="24"/>
        </w:rPr>
        <w:t>）召集人需要通知的其他事项。</w:t>
      </w:r>
    </w:p>
    <w:p w14:paraId="38FC5216" w14:textId="77777777" w:rsidR="007C736D" w:rsidRDefault="00662CFB">
      <w:pPr>
        <w:spacing w:line="360" w:lineRule="auto"/>
        <w:ind w:firstLine="480"/>
        <w:rPr>
          <w:bCs/>
          <w:sz w:val="24"/>
        </w:rPr>
      </w:pPr>
      <w:r>
        <w:rPr>
          <w:bCs/>
          <w:sz w:val="24"/>
        </w:rPr>
        <w:t>2</w:t>
      </w:r>
      <w:r>
        <w:rPr>
          <w:bCs/>
          <w:sz w:val="24"/>
        </w:rPr>
        <w:t>、采取通讯开会方式并进行表决的情况下，由会议召集人决定在会议通知中说明本次基金份额持有人大会所采取的</w:t>
      </w:r>
      <w:r>
        <w:rPr>
          <w:bCs/>
          <w:sz w:val="24"/>
        </w:rPr>
        <w:t>具体通讯方式、委托的公证机关及其联系方式和联系人、表决意见寄交的截止时间和收取方式。</w:t>
      </w:r>
    </w:p>
    <w:p w14:paraId="46116FCA" w14:textId="77777777" w:rsidR="007C736D" w:rsidRDefault="00662CFB">
      <w:pPr>
        <w:spacing w:line="360" w:lineRule="auto"/>
        <w:ind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871851F" w14:textId="77777777" w:rsidR="007C736D" w:rsidRDefault="00662CFB">
      <w:pPr>
        <w:spacing w:line="360" w:lineRule="auto"/>
        <w:ind w:firstLine="480"/>
        <w:rPr>
          <w:bCs/>
          <w:sz w:val="24"/>
        </w:rPr>
      </w:pPr>
      <w:bookmarkStart w:id="196" w:name="_Toc79392587"/>
      <w:bookmarkStart w:id="197" w:name="_Toc15641223"/>
      <w:bookmarkStart w:id="198" w:name="_Toc57530246"/>
      <w:r>
        <w:rPr>
          <w:bCs/>
          <w:sz w:val="24"/>
        </w:rPr>
        <w:t>四、基金份额持有人出席会议的方式</w:t>
      </w:r>
      <w:bookmarkEnd w:id="196"/>
      <w:bookmarkEnd w:id="197"/>
      <w:bookmarkEnd w:id="198"/>
    </w:p>
    <w:p w14:paraId="2D8B6E78" w14:textId="77777777" w:rsidR="007C736D" w:rsidRDefault="00662CFB">
      <w:pPr>
        <w:spacing w:line="360" w:lineRule="auto"/>
        <w:ind w:firstLine="480"/>
        <w:rPr>
          <w:bCs/>
          <w:sz w:val="24"/>
        </w:rPr>
      </w:pPr>
      <w:r>
        <w:rPr>
          <w:bCs/>
          <w:sz w:val="24"/>
        </w:rPr>
        <w:lastRenderedPageBreak/>
        <w:t>基金份额持有人大会可通过现场开会</w:t>
      </w:r>
      <w:r>
        <w:rPr>
          <w:bCs/>
          <w:sz w:val="24"/>
        </w:rPr>
        <w:t>方式</w:t>
      </w:r>
      <w:r>
        <w:rPr>
          <w:rFonts w:hint="eastAsia"/>
          <w:bCs/>
          <w:sz w:val="24"/>
        </w:rPr>
        <w:t>、</w:t>
      </w:r>
      <w:r>
        <w:rPr>
          <w:bCs/>
          <w:sz w:val="24"/>
        </w:rPr>
        <w:t>通讯开会方式</w:t>
      </w:r>
      <w:r>
        <w:rPr>
          <w:rFonts w:hint="eastAsia"/>
          <w:bCs/>
          <w:sz w:val="24"/>
        </w:rPr>
        <w:t>或法律法规、监管机构允许的其他方式</w:t>
      </w:r>
      <w:r>
        <w:rPr>
          <w:bCs/>
          <w:sz w:val="24"/>
        </w:rPr>
        <w:t>召开，会议的召开方式由会议召集人确定。</w:t>
      </w:r>
    </w:p>
    <w:p w14:paraId="117452C6" w14:textId="77777777" w:rsidR="007C736D" w:rsidRDefault="00662CFB">
      <w:pPr>
        <w:spacing w:line="360" w:lineRule="auto"/>
        <w:ind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4B70E49D" w14:textId="77777777" w:rsidR="007C736D" w:rsidRDefault="00662CFB">
      <w:pPr>
        <w:spacing w:line="360" w:lineRule="auto"/>
        <w:ind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w:t>
      </w:r>
      <w:r>
        <w:rPr>
          <w:bCs/>
          <w:sz w:val="24"/>
        </w:rPr>
        <w:t>并且持有基金份额的凭证与基金管理人持有的登记资料相符；</w:t>
      </w:r>
    </w:p>
    <w:p w14:paraId="43FB7394" w14:textId="77777777" w:rsidR="007C736D" w:rsidRDefault="00662CFB">
      <w:pPr>
        <w:spacing w:line="360" w:lineRule="auto"/>
        <w:ind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到会者在权益登记日</w:t>
      </w:r>
      <w:r>
        <w:rPr>
          <w:rFonts w:hint="eastAsia"/>
          <w:bCs/>
          <w:sz w:val="24"/>
        </w:rPr>
        <w:t>代表</w:t>
      </w:r>
      <w:r>
        <w:rPr>
          <w:bCs/>
          <w:sz w:val="24"/>
        </w:rPr>
        <w:t>的有效的基金份额少于本基金在权益登记日基金总份额的</w:t>
      </w:r>
      <w:r>
        <w:rPr>
          <w:rFonts w:hint="eastAsia"/>
          <w:bCs/>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个月以内，就原定审议事项重新召集基金份额持有人大会。重新召集的基金份额持有人大会到会者在权益登记日</w:t>
      </w:r>
      <w:r>
        <w:rPr>
          <w:rFonts w:hint="eastAsia"/>
          <w:bCs/>
          <w:sz w:val="24"/>
        </w:rPr>
        <w:t>代表</w:t>
      </w:r>
      <w:r>
        <w:rPr>
          <w:bCs/>
          <w:sz w:val="24"/>
        </w:rPr>
        <w:t>的有效的基金份额</w:t>
      </w:r>
      <w:r>
        <w:rPr>
          <w:rFonts w:hint="eastAsia"/>
          <w:bCs/>
          <w:sz w:val="24"/>
        </w:rPr>
        <w:t>应</w:t>
      </w:r>
      <w:r>
        <w:rPr>
          <w:bCs/>
          <w:sz w:val="24"/>
        </w:rPr>
        <w:t>不少于本基金在权益登记日基金总份额的三分之一</w:t>
      </w:r>
      <w:r>
        <w:rPr>
          <w:rFonts w:hint="eastAsia"/>
          <w:bCs/>
          <w:sz w:val="24"/>
        </w:rPr>
        <w:t>（含三</w:t>
      </w:r>
      <w:r>
        <w:rPr>
          <w:rFonts w:hint="eastAsia"/>
          <w:bCs/>
          <w:sz w:val="24"/>
        </w:rPr>
        <w:t>分之一）</w:t>
      </w:r>
      <w:r>
        <w:rPr>
          <w:bCs/>
          <w:sz w:val="24"/>
        </w:rPr>
        <w:t>。</w:t>
      </w:r>
    </w:p>
    <w:p w14:paraId="51402D7D" w14:textId="77777777" w:rsidR="007C736D" w:rsidRDefault="00662CFB">
      <w:pPr>
        <w:spacing w:line="360" w:lineRule="auto"/>
        <w:ind w:firstLine="480"/>
        <w:rPr>
          <w:bCs/>
          <w:sz w:val="24"/>
        </w:rPr>
      </w:pPr>
      <w:r>
        <w:rPr>
          <w:bCs/>
          <w:sz w:val="24"/>
        </w:rPr>
        <w:t>2</w:t>
      </w:r>
      <w:r>
        <w:rPr>
          <w:bCs/>
          <w:sz w:val="24"/>
        </w:rPr>
        <w:t>、通讯开会。通讯开会系指基金份额持有人将其对表决事项的投票以书面形式</w:t>
      </w:r>
      <w:r>
        <w:rPr>
          <w:rFonts w:hint="eastAsia"/>
          <w:bCs/>
          <w:sz w:val="24"/>
        </w:rPr>
        <w:t>或大会公告载明的其他方式</w:t>
      </w:r>
      <w:r>
        <w:rPr>
          <w:bCs/>
          <w:sz w:val="24"/>
        </w:rPr>
        <w:t>在表决截</w:t>
      </w:r>
      <w:r>
        <w:rPr>
          <w:rFonts w:hint="eastAsia"/>
          <w:bCs/>
          <w:sz w:val="24"/>
        </w:rPr>
        <w:t>止</w:t>
      </w:r>
      <w:r>
        <w:rPr>
          <w:bCs/>
          <w:sz w:val="24"/>
        </w:rPr>
        <w:t>日以前送达至召集人指定的地址。通讯开会应以书面方式</w:t>
      </w:r>
      <w:r>
        <w:rPr>
          <w:rFonts w:hint="eastAsia"/>
          <w:bCs/>
          <w:sz w:val="24"/>
        </w:rPr>
        <w:t>或大会公告载明的其他方式</w:t>
      </w:r>
      <w:r>
        <w:rPr>
          <w:bCs/>
          <w:sz w:val="24"/>
        </w:rPr>
        <w:t>进行表决。</w:t>
      </w:r>
    </w:p>
    <w:p w14:paraId="1702293F" w14:textId="77777777" w:rsidR="007C736D" w:rsidRDefault="00662CFB">
      <w:pPr>
        <w:spacing w:line="360" w:lineRule="auto"/>
        <w:ind w:firstLine="480"/>
        <w:rPr>
          <w:bCs/>
          <w:sz w:val="24"/>
        </w:rPr>
      </w:pPr>
      <w:r>
        <w:rPr>
          <w:bCs/>
          <w:sz w:val="24"/>
        </w:rPr>
        <w:t>在同时符合以下条件时，通讯开会的方式视为有效：</w:t>
      </w:r>
    </w:p>
    <w:p w14:paraId="18161D53" w14:textId="77777777" w:rsidR="007C736D" w:rsidRDefault="00662CFB">
      <w:pPr>
        <w:spacing w:line="360" w:lineRule="auto"/>
        <w:ind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r>
        <w:rPr>
          <w:rFonts w:hint="eastAsia"/>
          <w:bCs/>
          <w:sz w:val="24"/>
        </w:rPr>
        <w:t>，监管机构另有规定的除外</w:t>
      </w:r>
      <w:r>
        <w:rPr>
          <w:bCs/>
          <w:sz w:val="24"/>
        </w:rPr>
        <w:t>；</w:t>
      </w:r>
    </w:p>
    <w:p w14:paraId="47CB14EA" w14:textId="77777777" w:rsidR="007C736D" w:rsidRDefault="00662CFB">
      <w:pPr>
        <w:spacing w:line="360" w:lineRule="auto"/>
        <w:ind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3DDE81E" w14:textId="77777777" w:rsidR="007C736D" w:rsidRDefault="00662CFB">
      <w:pPr>
        <w:spacing w:line="360" w:lineRule="auto"/>
        <w:ind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w:t>
      </w:r>
      <w:r>
        <w:rPr>
          <w:bCs/>
          <w:sz w:val="24"/>
        </w:rPr>
        <w:lastRenderedPageBreak/>
        <w:t>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意见基金份额持有人所持有的基金份额小于在权益登记日基金总份额的</w:t>
      </w:r>
      <w:r>
        <w:rPr>
          <w:rFonts w:hint="eastAsia"/>
          <w:bCs/>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个月以内，就原定审议事项重新召集基金份额持有人大会。重新召集的基金份额持有人大会应当有代表三分之一以上</w:t>
      </w:r>
      <w:r>
        <w:rPr>
          <w:rFonts w:hint="eastAsia"/>
          <w:bCs/>
          <w:sz w:val="24"/>
        </w:rPr>
        <w:t>（含三分之一）</w:t>
      </w:r>
      <w:r>
        <w:rPr>
          <w:bCs/>
          <w:sz w:val="24"/>
        </w:rPr>
        <w:t>基金份额的持有人直接出具</w:t>
      </w:r>
      <w:r>
        <w:rPr>
          <w:rFonts w:hint="eastAsia"/>
          <w:bCs/>
          <w:sz w:val="24"/>
        </w:rPr>
        <w:t>表决</w:t>
      </w:r>
      <w:r>
        <w:rPr>
          <w:bCs/>
          <w:sz w:val="24"/>
        </w:rPr>
        <w:t>意见或授权他人代表出具</w:t>
      </w:r>
      <w:r>
        <w:rPr>
          <w:rFonts w:hint="eastAsia"/>
          <w:bCs/>
          <w:sz w:val="24"/>
        </w:rPr>
        <w:t>表决</w:t>
      </w:r>
      <w:r>
        <w:rPr>
          <w:bCs/>
          <w:sz w:val="24"/>
        </w:rPr>
        <w:t>意见；</w:t>
      </w:r>
    </w:p>
    <w:p w14:paraId="1097DFD3" w14:textId="77777777" w:rsidR="007C736D" w:rsidRDefault="00662CFB">
      <w:pPr>
        <w:spacing w:line="360" w:lineRule="auto"/>
        <w:ind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w:t>
      </w:r>
      <w:r>
        <w:rPr>
          <w:bCs/>
          <w:sz w:val="24"/>
        </w:rPr>
        <w:t>证明符合法律法规、《基金合同》和会议通知的规定，并与基金登记机构记录相符</w:t>
      </w:r>
      <w:r>
        <w:rPr>
          <w:rFonts w:hint="eastAsia"/>
          <w:bCs/>
          <w:sz w:val="24"/>
        </w:rPr>
        <w:t>。</w:t>
      </w:r>
    </w:p>
    <w:p w14:paraId="0AE4B2F5" w14:textId="77777777" w:rsidR="007C736D" w:rsidRDefault="00662CFB">
      <w:pPr>
        <w:spacing w:line="360" w:lineRule="auto"/>
        <w:ind w:firstLine="480"/>
        <w:rPr>
          <w:bCs/>
          <w:sz w:val="24"/>
        </w:rPr>
      </w:pPr>
      <w:r>
        <w:rPr>
          <w:rFonts w:hint="eastAsia"/>
          <w:bCs/>
          <w:sz w:val="24"/>
        </w:rPr>
        <w:t>3</w:t>
      </w:r>
      <w:r>
        <w:rPr>
          <w:rFonts w:hint="eastAsia"/>
          <w:bCs/>
          <w:sz w:val="24"/>
        </w:rPr>
        <w:t>、在不违反法律法规和监管机关规定的前提下，本基金的基金份额持有人亦可采用其他方式授权其代理人出席基金份额持有人大会，授权方式可以采用书面、网络、电话、短信或其他方式，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w:t>
      </w:r>
      <w:r>
        <w:rPr>
          <w:rFonts w:hint="eastAsia"/>
          <w:bCs/>
          <w:sz w:val="24"/>
        </w:rPr>
        <w:t>式由会议召集人确定并在会议通知中列明。</w:t>
      </w:r>
    </w:p>
    <w:p w14:paraId="44332959" w14:textId="77777777" w:rsidR="007C736D" w:rsidRDefault="00662CFB">
      <w:pPr>
        <w:spacing w:line="360" w:lineRule="auto"/>
        <w:ind w:firstLine="480"/>
        <w:rPr>
          <w:bCs/>
          <w:sz w:val="24"/>
        </w:rPr>
      </w:pPr>
      <w:bookmarkStart w:id="199" w:name="_Toc15641224"/>
      <w:bookmarkStart w:id="200" w:name="_Toc79392588"/>
      <w:bookmarkStart w:id="201" w:name="_Toc57530247"/>
      <w:r>
        <w:rPr>
          <w:bCs/>
          <w:sz w:val="24"/>
        </w:rPr>
        <w:t>五、议事内容与程序</w:t>
      </w:r>
      <w:bookmarkEnd w:id="199"/>
      <w:bookmarkEnd w:id="200"/>
      <w:bookmarkEnd w:id="201"/>
    </w:p>
    <w:p w14:paraId="24D3B37B" w14:textId="77777777" w:rsidR="007C736D" w:rsidRDefault="00662CFB">
      <w:pPr>
        <w:spacing w:line="360" w:lineRule="auto"/>
        <w:ind w:firstLine="480"/>
        <w:rPr>
          <w:bCs/>
          <w:sz w:val="24"/>
        </w:rPr>
      </w:pPr>
      <w:r>
        <w:rPr>
          <w:bCs/>
          <w:sz w:val="24"/>
        </w:rPr>
        <w:t>1</w:t>
      </w:r>
      <w:r>
        <w:rPr>
          <w:bCs/>
          <w:sz w:val="24"/>
        </w:rPr>
        <w:t>、议事内容及提案权</w:t>
      </w:r>
    </w:p>
    <w:p w14:paraId="6E59C87B" w14:textId="77777777" w:rsidR="007C736D" w:rsidRDefault="00662CFB">
      <w:pPr>
        <w:spacing w:line="360" w:lineRule="auto"/>
        <w:ind w:firstLine="480"/>
        <w:rPr>
          <w:bCs/>
          <w:sz w:val="24"/>
        </w:rPr>
      </w:pPr>
      <w:r>
        <w:rPr>
          <w:bCs/>
          <w:sz w:val="24"/>
        </w:rPr>
        <w:t>议事内容为关系基金份额持有人利益的重大事项，如《基金合同》的重大修改、决定终止《基金合同》、更换基金管理人、更换基金托管人、与其他基金合并</w:t>
      </w:r>
      <w:r>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14:paraId="38A17137" w14:textId="77777777" w:rsidR="007C736D" w:rsidRDefault="00662CFB">
      <w:pPr>
        <w:spacing w:line="360" w:lineRule="auto"/>
        <w:ind w:firstLine="480"/>
        <w:rPr>
          <w:bCs/>
          <w:sz w:val="24"/>
        </w:rPr>
      </w:pPr>
      <w:r>
        <w:rPr>
          <w:bCs/>
          <w:sz w:val="24"/>
        </w:rPr>
        <w:t>基金份额持有人大会的召集人发出召集会议的通知后，对原有提案的修改应当在基金份额持有人大会召开前及时公告。</w:t>
      </w:r>
    </w:p>
    <w:p w14:paraId="5FACBE8A" w14:textId="77777777" w:rsidR="007C736D" w:rsidRDefault="00662CFB">
      <w:pPr>
        <w:spacing w:line="360" w:lineRule="auto"/>
        <w:ind w:firstLine="480"/>
        <w:rPr>
          <w:bCs/>
          <w:sz w:val="24"/>
        </w:rPr>
      </w:pPr>
      <w:r>
        <w:rPr>
          <w:bCs/>
          <w:sz w:val="24"/>
        </w:rPr>
        <w:t>基金份额持有人大会不得对未事先公告的议事</w:t>
      </w:r>
      <w:r>
        <w:rPr>
          <w:bCs/>
          <w:sz w:val="24"/>
        </w:rPr>
        <w:t>内容进行表决。</w:t>
      </w:r>
    </w:p>
    <w:p w14:paraId="4D1209DE" w14:textId="77777777" w:rsidR="007C736D" w:rsidRDefault="00662CFB">
      <w:pPr>
        <w:spacing w:line="360" w:lineRule="auto"/>
        <w:ind w:firstLine="480"/>
        <w:rPr>
          <w:bCs/>
          <w:sz w:val="24"/>
        </w:rPr>
      </w:pPr>
      <w:r>
        <w:rPr>
          <w:bCs/>
          <w:sz w:val="24"/>
        </w:rPr>
        <w:lastRenderedPageBreak/>
        <w:t>2</w:t>
      </w:r>
      <w:r>
        <w:rPr>
          <w:bCs/>
          <w:sz w:val="24"/>
        </w:rPr>
        <w:t>、议事程序</w:t>
      </w:r>
    </w:p>
    <w:p w14:paraId="67878C42" w14:textId="77777777" w:rsidR="007C736D" w:rsidRDefault="00662CFB">
      <w:pPr>
        <w:spacing w:line="360" w:lineRule="auto"/>
        <w:ind w:firstLine="480"/>
        <w:rPr>
          <w:bCs/>
          <w:sz w:val="24"/>
        </w:rPr>
      </w:pPr>
      <w:r>
        <w:rPr>
          <w:bCs/>
          <w:sz w:val="24"/>
        </w:rPr>
        <w:t>（</w:t>
      </w:r>
      <w:r>
        <w:rPr>
          <w:bCs/>
          <w:sz w:val="24"/>
        </w:rPr>
        <w:t>1</w:t>
      </w:r>
      <w:r>
        <w:rPr>
          <w:bCs/>
          <w:sz w:val="24"/>
        </w:rPr>
        <w:t>）现场开会</w:t>
      </w:r>
    </w:p>
    <w:p w14:paraId="5C895CD3" w14:textId="77777777" w:rsidR="007C736D" w:rsidRDefault="00662CFB">
      <w:pPr>
        <w:spacing w:line="360" w:lineRule="auto"/>
        <w:ind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w:t>
      </w:r>
      <w:r>
        <w:rPr>
          <w:bCs/>
          <w:sz w:val="24"/>
        </w:rPr>
        <w:t>管人拒不出席或主持基金份额持有人大会，不影响基金份额持有人大会作出的决议的效力。</w:t>
      </w:r>
    </w:p>
    <w:p w14:paraId="0D8D083D" w14:textId="77777777" w:rsidR="007C736D" w:rsidRDefault="00662CFB">
      <w:pPr>
        <w:spacing w:line="360" w:lineRule="auto"/>
        <w:ind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090D0884" w14:textId="77777777" w:rsidR="007C736D" w:rsidRDefault="00662CFB">
      <w:pPr>
        <w:spacing w:line="360" w:lineRule="auto"/>
        <w:ind w:firstLine="480"/>
        <w:rPr>
          <w:bCs/>
          <w:sz w:val="24"/>
        </w:rPr>
      </w:pPr>
      <w:r>
        <w:rPr>
          <w:bCs/>
          <w:sz w:val="24"/>
        </w:rPr>
        <w:t>（</w:t>
      </w:r>
      <w:r>
        <w:rPr>
          <w:bCs/>
          <w:sz w:val="24"/>
        </w:rPr>
        <w:t>2</w:t>
      </w:r>
      <w:r>
        <w:rPr>
          <w:bCs/>
          <w:sz w:val="24"/>
        </w:rPr>
        <w:t>）通讯开会</w:t>
      </w:r>
    </w:p>
    <w:p w14:paraId="385BAD5F" w14:textId="77777777" w:rsidR="007C736D" w:rsidRDefault="00662CFB">
      <w:pPr>
        <w:spacing w:line="360" w:lineRule="auto"/>
        <w:ind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5AB75EAD" w14:textId="77777777" w:rsidR="007C736D" w:rsidRDefault="00662CFB">
      <w:pPr>
        <w:spacing w:line="360" w:lineRule="auto"/>
        <w:ind w:firstLine="480"/>
        <w:rPr>
          <w:bCs/>
          <w:sz w:val="24"/>
        </w:rPr>
      </w:pPr>
      <w:bookmarkStart w:id="202" w:name="_Toc15641225"/>
      <w:bookmarkStart w:id="203" w:name="_Toc79392589"/>
      <w:bookmarkStart w:id="204" w:name="_Toc57530248"/>
      <w:r>
        <w:rPr>
          <w:bCs/>
          <w:sz w:val="24"/>
        </w:rPr>
        <w:t>六、表决</w:t>
      </w:r>
      <w:bookmarkEnd w:id="202"/>
      <w:bookmarkEnd w:id="203"/>
      <w:bookmarkEnd w:id="204"/>
    </w:p>
    <w:p w14:paraId="33F4EDDC" w14:textId="77777777" w:rsidR="007C736D" w:rsidRDefault="00662CFB">
      <w:pPr>
        <w:spacing w:line="360" w:lineRule="auto"/>
        <w:ind w:firstLine="480"/>
        <w:rPr>
          <w:bCs/>
          <w:sz w:val="24"/>
        </w:rPr>
      </w:pPr>
      <w:r>
        <w:rPr>
          <w:bCs/>
          <w:sz w:val="24"/>
        </w:rPr>
        <w:t>基金份额持有人所持每份基金份额有一票表决权。</w:t>
      </w:r>
    </w:p>
    <w:p w14:paraId="27EED31E" w14:textId="77777777" w:rsidR="007C736D" w:rsidRDefault="00662CFB">
      <w:pPr>
        <w:spacing w:line="360" w:lineRule="auto"/>
        <w:ind w:firstLine="480"/>
        <w:rPr>
          <w:bCs/>
          <w:sz w:val="24"/>
        </w:rPr>
      </w:pPr>
      <w:r>
        <w:rPr>
          <w:bCs/>
          <w:sz w:val="24"/>
        </w:rPr>
        <w:t>基金份额持有人大会决议分为</w:t>
      </w:r>
      <w:r>
        <w:rPr>
          <w:bCs/>
          <w:sz w:val="24"/>
        </w:rPr>
        <w:t>一般决议和特别决议：</w:t>
      </w:r>
    </w:p>
    <w:p w14:paraId="468ABBDD" w14:textId="77777777" w:rsidR="007C736D" w:rsidRDefault="00662CFB">
      <w:pPr>
        <w:spacing w:line="360" w:lineRule="auto"/>
        <w:ind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37DA3920" w14:textId="77777777" w:rsidR="007C736D" w:rsidRDefault="00662CFB">
      <w:pPr>
        <w:spacing w:line="360" w:lineRule="auto"/>
        <w:ind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除法律法规另有规定或基金合同另有约定外，转换基金运作方式、更换基金管理人或者基金托管人、终止《基金合同》、本基金与其他基金合并以特别决议通过方为有效。</w:t>
      </w:r>
    </w:p>
    <w:p w14:paraId="6D909060" w14:textId="77777777" w:rsidR="007C736D" w:rsidRDefault="00662CFB">
      <w:pPr>
        <w:spacing w:line="360" w:lineRule="auto"/>
        <w:ind w:firstLine="480"/>
        <w:rPr>
          <w:bCs/>
          <w:sz w:val="24"/>
        </w:rPr>
      </w:pPr>
      <w:r>
        <w:rPr>
          <w:bCs/>
          <w:sz w:val="24"/>
        </w:rPr>
        <w:t>基金份额持有人大会采取记名方式进行投票表决。</w:t>
      </w:r>
    </w:p>
    <w:p w14:paraId="329901FF" w14:textId="77777777" w:rsidR="007C736D" w:rsidRDefault="00662CFB">
      <w:pPr>
        <w:spacing w:line="360" w:lineRule="auto"/>
        <w:ind w:firstLine="480"/>
        <w:rPr>
          <w:bCs/>
          <w:sz w:val="24"/>
        </w:rPr>
      </w:pPr>
      <w:r>
        <w:rPr>
          <w:bCs/>
          <w:sz w:val="24"/>
        </w:rPr>
        <w:t>采取通讯方式进行表决时，除非在计票时有充分的相反证据证明，否则提</w:t>
      </w:r>
      <w:r>
        <w:rPr>
          <w:bCs/>
          <w:sz w:val="24"/>
        </w:rPr>
        <w:lastRenderedPageBreak/>
        <w:t>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112F4C7C" w14:textId="77777777" w:rsidR="007C736D" w:rsidRDefault="00662CFB">
      <w:pPr>
        <w:spacing w:line="360" w:lineRule="auto"/>
        <w:ind w:firstLine="480"/>
        <w:rPr>
          <w:bCs/>
          <w:sz w:val="24"/>
        </w:rPr>
      </w:pPr>
      <w:r>
        <w:rPr>
          <w:bCs/>
          <w:sz w:val="24"/>
        </w:rPr>
        <w:t>基金份额持有人大会的各项提案或同一项提案内并列的各项议题应当分开审议、逐项表决。</w:t>
      </w:r>
    </w:p>
    <w:p w14:paraId="4F2D7446" w14:textId="77777777" w:rsidR="007C736D" w:rsidRDefault="00662CFB">
      <w:pPr>
        <w:spacing w:line="360" w:lineRule="auto"/>
        <w:ind w:firstLine="480"/>
        <w:rPr>
          <w:bCs/>
          <w:sz w:val="24"/>
        </w:rPr>
      </w:pPr>
      <w:bookmarkStart w:id="205" w:name="_Toc79392590"/>
      <w:bookmarkStart w:id="206" w:name="_Toc57530249"/>
      <w:bookmarkStart w:id="207" w:name="_Toc15641226"/>
      <w:r>
        <w:rPr>
          <w:bCs/>
          <w:sz w:val="24"/>
        </w:rPr>
        <w:t>七、计票</w:t>
      </w:r>
      <w:bookmarkEnd w:id="205"/>
      <w:bookmarkEnd w:id="206"/>
      <w:bookmarkEnd w:id="207"/>
    </w:p>
    <w:p w14:paraId="05BD3879" w14:textId="77777777" w:rsidR="007C736D" w:rsidRDefault="00662CFB">
      <w:pPr>
        <w:spacing w:line="360" w:lineRule="auto"/>
        <w:ind w:firstLine="480"/>
        <w:rPr>
          <w:bCs/>
          <w:sz w:val="24"/>
        </w:rPr>
      </w:pPr>
      <w:r>
        <w:rPr>
          <w:bCs/>
          <w:sz w:val="24"/>
        </w:rPr>
        <w:t>1</w:t>
      </w:r>
      <w:r>
        <w:rPr>
          <w:bCs/>
          <w:sz w:val="24"/>
        </w:rPr>
        <w:t>、现场开会</w:t>
      </w:r>
    </w:p>
    <w:p w14:paraId="7AAD15C9" w14:textId="77777777" w:rsidR="007C736D" w:rsidRDefault="00662CFB">
      <w:pPr>
        <w:spacing w:line="360" w:lineRule="auto"/>
        <w:ind w:firstLine="480"/>
        <w:rPr>
          <w:bCs/>
          <w:sz w:val="24"/>
        </w:rPr>
      </w:pPr>
      <w:r>
        <w:rPr>
          <w:bCs/>
          <w:sz w:val="24"/>
        </w:rPr>
        <w:t>（</w:t>
      </w:r>
      <w:r>
        <w:rPr>
          <w:bCs/>
          <w:sz w:val="24"/>
        </w:rPr>
        <w:t>1</w:t>
      </w:r>
      <w:r>
        <w:rPr>
          <w:bCs/>
          <w:sz w:val="24"/>
        </w:rPr>
        <w:t>）如大会由基金管理人或基金托管人召集，基金份额持有人大会的主持人应当在会议开</w:t>
      </w:r>
      <w:r>
        <w:rPr>
          <w:bCs/>
          <w:sz w:val="24"/>
        </w:rPr>
        <w:t>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19EB32C" w14:textId="77777777" w:rsidR="007C736D" w:rsidRDefault="00662CFB">
      <w:pPr>
        <w:spacing w:line="360" w:lineRule="auto"/>
        <w:ind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6FC142B9" w14:textId="77777777" w:rsidR="007C736D" w:rsidRDefault="00662CFB">
      <w:pPr>
        <w:spacing w:line="360" w:lineRule="auto"/>
        <w:ind w:firstLine="480"/>
        <w:rPr>
          <w:bCs/>
          <w:sz w:val="24"/>
        </w:rPr>
      </w:pPr>
      <w:r>
        <w:rPr>
          <w:bCs/>
          <w:sz w:val="24"/>
        </w:rPr>
        <w:t>（</w:t>
      </w:r>
      <w:r>
        <w:rPr>
          <w:bCs/>
          <w:sz w:val="24"/>
        </w:rPr>
        <w:t>3</w:t>
      </w:r>
      <w:r>
        <w:rPr>
          <w:bCs/>
          <w:sz w:val="24"/>
        </w:rPr>
        <w:t>）如果会议主持人或基金份额持有人</w:t>
      </w:r>
      <w:r>
        <w:rPr>
          <w:bCs/>
          <w:sz w:val="24"/>
        </w:rPr>
        <w:t>或代理人对于提交的表决结果有</w:t>
      </w:r>
      <w:r>
        <w:rPr>
          <w:rFonts w:hint="eastAsia"/>
          <w:bCs/>
          <w:sz w:val="24"/>
        </w:rPr>
        <w:t>异议</w:t>
      </w:r>
      <w:r>
        <w:rPr>
          <w:bCs/>
          <w:sz w:val="24"/>
        </w:rPr>
        <w:t>，可以在宣布表决结果后立即对所投票数要求进行重新清点。监票人应当进行重新清点，重新清点以一次为限。重新清点后，大会主持人应当当场公布重新清点结果。</w:t>
      </w:r>
    </w:p>
    <w:p w14:paraId="6E319399" w14:textId="77777777" w:rsidR="007C736D" w:rsidRDefault="00662CFB">
      <w:pPr>
        <w:spacing w:line="360" w:lineRule="auto"/>
        <w:ind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3BA605EA" w14:textId="77777777" w:rsidR="007C736D" w:rsidRDefault="00662CFB">
      <w:pPr>
        <w:spacing w:line="360" w:lineRule="auto"/>
        <w:ind w:firstLine="480"/>
        <w:rPr>
          <w:bCs/>
          <w:sz w:val="24"/>
        </w:rPr>
      </w:pPr>
      <w:r>
        <w:rPr>
          <w:bCs/>
          <w:sz w:val="24"/>
        </w:rPr>
        <w:t>2</w:t>
      </w:r>
      <w:r>
        <w:rPr>
          <w:bCs/>
          <w:sz w:val="24"/>
        </w:rPr>
        <w:t>、通讯开会</w:t>
      </w:r>
    </w:p>
    <w:p w14:paraId="7A119C7E" w14:textId="77777777" w:rsidR="007C736D" w:rsidRDefault="00662CFB">
      <w:pPr>
        <w:spacing w:line="360" w:lineRule="auto"/>
        <w:ind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8" w:name="_Toc79392591"/>
      <w:bookmarkStart w:id="209" w:name="_Toc57530250"/>
      <w:bookmarkStart w:id="210" w:name="_Toc15641227"/>
      <w:r>
        <w:rPr>
          <w:bCs/>
          <w:sz w:val="24"/>
        </w:rPr>
        <w:t>。基金管理人或基金托管人拒派代表对表决意见的计票进行监督的，不影响计票和表决结果。</w:t>
      </w:r>
    </w:p>
    <w:p w14:paraId="5D7BA29D" w14:textId="77777777" w:rsidR="007C736D" w:rsidRDefault="00662CFB">
      <w:pPr>
        <w:spacing w:line="360" w:lineRule="auto"/>
        <w:ind w:firstLine="480"/>
        <w:rPr>
          <w:bCs/>
          <w:sz w:val="24"/>
        </w:rPr>
      </w:pPr>
      <w:r>
        <w:rPr>
          <w:bCs/>
          <w:sz w:val="24"/>
        </w:rPr>
        <w:t>八、生效与公告</w:t>
      </w:r>
      <w:bookmarkEnd w:id="208"/>
      <w:bookmarkEnd w:id="209"/>
      <w:bookmarkEnd w:id="210"/>
    </w:p>
    <w:p w14:paraId="55728EB4" w14:textId="77777777" w:rsidR="007C736D" w:rsidRDefault="00662CFB">
      <w:pPr>
        <w:spacing w:line="360" w:lineRule="auto"/>
        <w:ind w:firstLine="480"/>
        <w:rPr>
          <w:bCs/>
          <w:sz w:val="24"/>
        </w:rPr>
      </w:pPr>
      <w:r>
        <w:rPr>
          <w:bCs/>
          <w:sz w:val="24"/>
        </w:rPr>
        <w:lastRenderedPageBreak/>
        <w:t>基金份额持有人大会的决议，召集人应当自通过之日起</w:t>
      </w:r>
      <w:r>
        <w:rPr>
          <w:rFonts w:hint="eastAsia"/>
          <w:bCs/>
          <w:sz w:val="24"/>
        </w:rPr>
        <w:t>5</w:t>
      </w:r>
      <w:r>
        <w:rPr>
          <w:bCs/>
          <w:sz w:val="24"/>
        </w:rPr>
        <w:t>日内报中国证监会备案。</w:t>
      </w:r>
    </w:p>
    <w:p w14:paraId="5454B26D" w14:textId="77777777" w:rsidR="007C736D" w:rsidRDefault="00662CFB">
      <w:pPr>
        <w:spacing w:line="360" w:lineRule="auto"/>
        <w:ind w:firstLine="480"/>
        <w:rPr>
          <w:bCs/>
          <w:sz w:val="24"/>
        </w:rPr>
      </w:pPr>
      <w:r>
        <w:rPr>
          <w:bCs/>
          <w:sz w:val="24"/>
        </w:rPr>
        <w:t>基金份额持有人大会的决议自</w:t>
      </w:r>
      <w:r>
        <w:rPr>
          <w:rFonts w:hint="eastAsia"/>
          <w:bCs/>
          <w:sz w:val="24"/>
        </w:rPr>
        <w:t>表决通过</w:t>
      </w:r>
      <w:r>
        <w:rPr>
          <w:bCs/>
          <w:sz w:val="24"/>
        </w:rPr>
        <w:t>之日起生效。</w:t>
      </w:r>
    </w:p>
    <w:p w14:paraId="107ACAE3" w14:textId="77777777" w:rsidR="007C736D" w:rsidRDefault="00662CFB">
      <w:pPr>
        <w:spacing w:line="360" w:lineRule="auto"/>
        <w:ind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w:t>
      </w:r>
      <w:bookmarkStart w:id="211" w:name="_Hlt88820702"/>
      <w:bookmarkEnd w:id="211"/>
      <w:r>
        <w:rPr>
          <w:bCs/>
          <w:sz w:val="24"/>
        </w:rPr>
        <w:t>如果采用通讯方式进行表决，在公告基金份额持有人大会决议时，必须将公证书全文、公证机构、公证员姓名等一同公告。</w:t>
      </w:r>
    </w:p>
    <w:p w14:paraId="7527764F" w14:textId="77777777" w:rsidR="007C736D" w:rsidRDefault="00662CFB">
      <w:pPr>
        <w:spacing w:line="360" w:lineRule="auto"/>
        <w:ind w:firstLine="480"/>
        <w:rPr>
          <w:bCs/>
          <w:sz w:val="24"/>
        </w:rPr>
      </w:pPr>
      <w:r>
        <w:rPr>
          <w:bCs/>
          <w:sz w:val="24"/>
        </w:rPr>
        <w:t>基金管理人、基金托管人和基金份额持有人应当执行生效的基金份额持有人大会的决议。生效的基金份额持有人大会决议对全体基金份额持</w:t>
      </w:r>
      <w:r>
        <w:rPr>
          <w:bCs/>
          <w:sz w:val="24"/>
        </w:rPr>
        <w:t>有人、基金管理人、基金托管人均有约束力。</w:t>
      </w:r>
    </w:p>
    <w:p w14:paraId="0D5AB87C" w14:textId="77777777" w:rsidR="007C736D" w:rsidRDefault="00662CFB">
      <w:pPr>
        <w:spacing w:line="360" w:lineRule="auto"/>
        <w:ind w:firstLine="480"/>
        <w:rPr>
          <w:bCs/>
          <w:sz w:val="24"/>
        </w:rPr>
      </w:pPr>
      <w:r>
        <w:rPr>
          <w:rFonts w:hint="eastAsia"/>
          <w:bCs/>
          <w:sz w:val="24"/>
        </w:rPr>
        <w:t>九、实施侧袋机制期间基金份额持有人大会的特殊约定</w:t>
      </w:r>
      <w:r>
        <w:rPr>
          <w:rFonts w:hint="eastAsia"/>
          <w:bCs/>
          <w:sz w:val="24"/>
        </w:rPr>
        <w:t xml:space="preserve"> </w:t>
      </w:r>
    </w:p>
    <w:p w14:paraId="2112FF59" w14:textId="77777777" w:rsidR="007C736D" w:rsidRDefault="00662CFB">
      <w:pPr>
        <w:spacing w:line="360" w:lineRule="auto"/>
        <w:ind w:firstLine="48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r>
        <w:rPr>
          <w:rFonts w:hint="eastAsia"/>
          <w:bCs/>
          <w:sz w:val="24"/>
        </w:rPr>
        <w:t xml:space="preserve"> </w:t>
      </w:r>
    </w:p>
    <w:p w14:paraId="1825D11A" w14:textId="77777777" w:rsidR="007C736D" w:rsidRDefault="00662CFB">
      <w:pPr>
        <w:spacing w:line="360" w:lineRule="auto"/>
        <w:ind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r>
        <w:rPr>
          <w:rFonts w:hint="eastAsia"/>
          <w:bCs/>
          <w:sz w:val="24"/>
        </w:rPr>
        <w:t xml:space="preserve"> </w:t>
      </w:r>
    </w:p>
    <w:p w14:paraId="03E6CA17" w14:textId="77777777" w:rsidR="007C736D" w:rsidRDefault="00662CFB">
      <w:pPr>
        <w:spacing w:line="360" w:lineRule="auto"/>
        <w:ind w:firstLine="480"/>
        <w:rPr>
          <w:bCs/>
          <w:sz w:val="24"/>
        </w:rPr>
      </w:pPr>
      <w:r>
        <w:rPr>
          <w:rFonts w:hint="eastAsia"/>
          <w:bCs/>
          <w:sz w:val="24"/>
        </w:rPr>
        <w:t>2</w:t>
      </w:r>
      <w:r>
        <w:rPr>
          <w:rFonts w:hint="eastAsia"/>
          <w:bCs/>
          <w:sz w:val="24"/>
        </w:rPr>
        <w:t>、现场开会的到会者在权益登记日代表的基金份额不少于本基金在权益</w:t>
      </w:r>
      <w:r>
        <w:rPr>
          <w:rFonts w:hint="eastAsia"/>
          <w:bCs/>
          <w:sz w:val="24"/>
        </w:rPr>
        <w:t>登记日相关基金份额的二分之一（含二分之一）；</w:t>
      </w:r>
      <w:r>
        <w:rPr>
          <w:rFonts w:hint="eastAsia"/>
          <w:bCs/>
          <w:sz w:val="24"/>
        </w:rPr>
        <w:t xml:space="preserve"> </w:t>
      </w:r>
    </w:p>
    <w:p w14:paraId="5B7E5763" w14:textId="77777777" w:rsidR="007C736D" w:rsidRDefault="00662CFB">
      <w:pPr>
        <w:spacing w:line="360" w:lineRule="auto"/>
        <w:ind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、通讯开会的直接出具表决意见或授权他人代表出具表决意见的基金份额持有人所持有的基金份额不小于在权益登记日相关基金份额的二分之一（含二分之一）；</w:t>
      </w:r>
      <w:r>
        <w:rPr>
          <w:rFonts w:hint="eastAsia"/>
          <w:bCs/>
          <w:sz w:val="24"/>
        </w:rPr>
        <w:t xml:space="preserve"> </w:t>
      </w:r>
    </w:p>
    <w:p w14:paraId="5DC3F9AD" w14:textId="77777777" w:rsidR="007C736D" w:rsidRDefault="00662CFB">
      <w:pPr>
        <w:spacing w:line="360" w:lineRule="auto"/>
        <w:ind w:firstLine="480"/>
        <w:rPr>
          <w:bCs/>
          <w:sz w:val="24"/>
        </w:rPr>
      </w:pPr>
      <w:r>
        <w:rPr>
          <w:rFonts w:hint="eastAsia"/>
          <w:bCs/>
          <w:sz w:val="24"/>
        </w:rPr>
        <w:t>4</w:t>
      </w:r>
      <w:r>
        <w:rPr>
          <w:rFonts w:hint="eastAsia"/>
          <w:bCs/>
          <w:sz w:val="24"/>
        </w:rPr>
        <w:t>、当参与基金份额持有人大会投票的基金份额持有人所持有的基金份额小于在权益登记日相关基金份额的二分之一，召集人在原公告的基金份额持有人大会召开时间的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r>
        <w:rPr>
          <w:rFonts w:hint="eastAsia"/>
          <w:bCs/>
          <w:sz w:val="24"/>
        </w:rPr>
        <w:t xml:space="preserve"> </w:t>
      </w:r>
    </w:p>
    <w:p w14:paraId="42DFCC1F" w14:textId="77777777" w:rsidR="007C736D" w:rsidRDefault="00662CFB">
      <w:pPr>
        <w:spacing w:line="360" w:lineRule="auto"/>
        <w:ind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w:t>
      </w:r>
      <w:r>
        <w:rPr>
          <w:rFonts w:hint="eastAsia"/>
          <w:bCs/>
          <w:sz w:val="24"/>
        </w:rPr>
        <w:t xml:space="preserve"> </w:t>
      </w:r>
    </w:p>
    <w:p w14:paraId="41F0694F" w14:textId="77777777" w:rsidR="007C736D" w:rsidRDefault="00662CFB">
      <w:pPr>
        <w:spacing w:line="360" w:lineRule="auto"/>
        <w:ind w:firstLine="480"/>
        <w:rPr>
          <w:bCs/>
          <w:sz w:val="24"/>
        </w:rPr>
      </w:pPr>
      <w:r>
        <w:rPr>
          <w:rFonts w:hint="eastAsia"/>
          <w:bCs/>
          <w:sz w:val="24"/>
        </w:rPr>
        <w:lastRenderedPageBreak/>
        <w:t>6</w:t>
      </w:r>
      <w:r>
        <w:rPr>
          <w:rFonts w:hint="eastAsia"/>
          <w:bCs/>
          <w:sz w:val="24"/>
        </w:rPr>
        <w:t>、一般决议须经参加大会的基金份额持有人或其代理人所持表决权的二分之一以上（含二分之一）通过；</w:t>
      </w:r>
      <w:r>
        <w:rPr>
          <w:rFonts w:hint="eastAsia"/>
          <w:bCs/>
          <w:sz w:val="24"/>
        </w:rPr>
        <w:t xml:space="preserve"> </w:t>
      </w:r>
    </w:p>
    <w:p w14:paraId="1BCA5BCD" w14:textId="77777777" w:rsidR="007C736D" w:rsidRDefault="00662CFB">
      <w:pPr>
        <w:spacing w:line="360" w:lineRule="auto"/>
        <w:ind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r>
        <w:rPr>
          <w:rFonts w:hint="eastAsia"/>
          <w:bCs/>
          <w:sz w:val="24"/>
        </w:rPr>
        <w:t xml:space="preserve"> </w:t>
      </w:r>
    </w:p>
    <w:p w14:paraId="5480FC8D" w14:textId="77777777" w:rsidR="007C736D" w:rsidRDefault="00662CFB">
      <w:pPr>
        <w:spacing w:line="360" w:lineRule="auto"/>
        <w:ind w:firstLine="480"/>
        <w:rPr>
          <w:bCs/>
          <w:sz w:val="24"/>
        </w:rPr>
      </w:pPr>
      <w:r>
        <w:rPr>
          <w:rFonts w:hint="eastAsia"/>
          <w:bCs/>
          <w:sz w:val="24"/>
        </w:rPr>
        <w:t>侧袋机制实施期间，基金份额持有人大会审议事项涉及主袋账户和侧袋账户的，应分别由主袋账户、侧袋账户的基金份额持有人进行表决，同一主侧袋账户内的每份基金份额具有平等的表决权。</w:t>
      </w:r>
      <w:r>
        <w:rPr>
          <w:rFonts w:hint="eastAsia"/>
          <w:bCs/>
          <w:sz w:val="24"/>
        </w:rPr>
        <w:t>表决事项未涉及侧袋账户的，侧袋账户份额无表决权。</w:t>
      </w:r>
    </w:p>
    <w:p w14:paraId="2FF04AF3" w14:textId="77777777" w:rsidR="007C736D" w:rsidRDefault="00662CFB">
      <w:pPr>
        <w:spacing w:line="360" w:lineRule="auto"/>
        <w:ind w:firstLine="480"/>
        <w:rPr>
          <w:bCs/>
          <w:sz w:val="24"/>
        </w:rPr>
      </w:pPr>
      <w:r>
        <w:rPr>
          <w:rFonts w:hint="eastAsia"/>
          <w:bCs/>
          <w:sz w:val="24"/>
        </w:rPr>
        <w:t>侧袋机制实施期间，关于基金份额持有人大会的相关规定以本节特殊约定内容为准，本节没有规定的适用上文相关约定。</w:t>
      </w:r>
    </w:p>
    <w:p w14:paraId="0F4A3404" w14:textId="77777777" w:rsidR="007C736D" w:rsidRDefault="00662CFB">
      <w:pPr>
        <w:spacing w:line="360" w:lineRule="auto"/>
        <w:ind w:firstLine="480"/>
        <w:rPr>
          <w:bCs/>
          <w:sz w:val="24"/>
        </w:rPr>
      </w:pPr>
      <w:r>
        <w:rPr>
          <w:rFonts w:hint="eastAsia"/>
          <w:bCs/>
          <w:sz w:val="24"/>
        </w:rPr>
        <w:t>十</w:t>
      </w:r>
      <w:r>
        <w:rPr>
          <w:bCs/>
          <w:sz w:val="24"/>
        </w:rPr>
        <w:t>、</w:t>
      </w:r>
      <w:bookmarkStart w:id="212" w:name="_Toc428798756"/>
      <w:bookmarkStart w:id="213" w:name="_Toc403486043"/>
      <w:bookmarkStart w:id="214" w:name="_Toc3963"/>
      <w:bookmarkStart w:id="215" w:name="_Toc1745"/>
      <w:r>
        <w:rPr>
          <w:rFonts w:hint="eastAsia"/>
          <w:bCs/>
          <w:sz w:val="24"/>
        </w:rPr>
        <w:t>本部分关于</w:t>
      </w:r>
      <w:r>
        <w:rPr>
          <w:bCs/>
          <w:sz w:val="24"/>
        </w:rPr>
        <w:t>基金份额持有人大会召开事由、召开条件、议事程序、表决条件等规定，凡是直接引用法律法规或监管规则的部分，如将来法律法规或监管规则修改导致相关内容被取消或变更的或法律法规增加新的持有人大会机制的，基金管理人提前公告后，可直接对本部分内容进行修改和调整或补充，无需召开基金份额持有人大会审议。</w:t>
      </w:r>
      <w:bookmarkEnd w:id="212"/>
      <w:bookmarkEnd w:id="213"/>
    </w:p>
    <w:p w14:paraId="059F67BB" w14:textId="77777777" w:rsidR="007C736D" w:rsidRDefault="00662CFB">
      <w:pPr>
        <w:pStyle w:val="1110"/>
        <w:jc w:val="center"/>
        <w:rPr>
          <w:rFonts w:ascii="Times New Roman"/>
          <w:b w:val="0"/>
          <w:color w:val="auto"/>
        </w:rPr>
      </w:pPr>
      <w:r>
        <w:rPr>
          <w:rFonts w:ascii="Times New Roman"/>
          <w:b w:val="0"/>
          <w:color w:val="auto"/>
        </w:rPr>
        <w:br w:type="page"/>
      </w:r>
      <w:bookmarkStart w:id="216" w:name="_Toc3572"/>
      <w:bookmarkStart w:id="217" w:name="_Toc123051455"/>
      <w:bookmarkStart w:id="218" w:name="_Toc725"/>
      <w:bookmarkStart w:id="219" w:name="_Toc16164"/>
      <w:bookmarkStart w:id="220" w:name="_Toc136360678"/>
      <w:bookmarkStart w:id="221" w:name="_Toc141703889"/>
      <w:bookmarkStart w:id="222" w:name="_Toc139991739"/>
      <w:bookmarkStart w:id="223" w:name="_Toc3080"/>
      <w:bookmarkStart w:id="224" w:name="_Toc10398"/>
      <w:bookmarkStart w:id="225" w:name="_Toc31821"/>
      <w:bookmarkStart w:id="226" w:name="_Toc98560355"/>
      <w:bookmarkStart w:id="227" w:name="_Toc25072218"/>
      <w:bookmarkStart w:id="228" w:name="_Toc123102456"/>
      <w:bookmarkStart w:id="229" w:name="_Toc18206"/>
      <w:bookmarkStart w:id="230" w:name="_Toc21735"/>
      <w:bookmarkStart w:id="231" w:name="_Toc123112237"/>
      <w:r>
        <w:rPr>
          <w:rFonts w:ascii="Times New Roman" w:hint="eastAsia"/>
          <w:b w:val="0"/>
          <w:color w:val="auto"/>
          <w:sz w:val="30"/>
        </w:rPr>
        <w:lastRenderedPageBreak/>
        <w:t>第九部分</w:t>
      </w:r>
      <w:r>
        <w:rPr>
          <w:rFonts w:ascii="Times New Roman" w:hint="eastAsia"/>
          <w:b w:val="0"/>
          <w:color w:val="auto"/>
          <w:sz w:val="30"/>
        </w:rPr>
        <w:t xml:space="preserve"> </w:t>
      </w:r>
      <w:r>
        <w:rPr>
          <w:rFonts w:ascii="Times New Roman"/>
          <w:b w:val="0"/>
          <w:color w:val="auto"/>
          <w:sz w:val="30"/>
        </w:rPr>
        <w:t xml:space="preserve"> </w:t>
      </w:r>
      <w:r>
        <w:rPr>
          <w:rFonts w:ascii="Times New Roman" w:hint="eastAsia"/>
          <w:b w:val="0"/>
          <w:color w:val="auto"/>
          <w:sz w:val="30"/>
        </w:rPr>
        <w:t>基金管理人、基金托管人的更换条件和程序</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14F24539" w14:textId="77777777" w:rsidR="007C736D" w:rsidRDefault="007C736D">
      <w:pPr>
        <w:spacing w:line="360" w:lineRule="auto"/>
        <w:rPr>
          <w:bCs/>
          <w:sz w:val="24"/>
        </w:rPr>
      </w:pPr>
      <w:bookmarkStart w:id="232" w:name="_Toc79392593"/>
      <w:bookmarkStart w:id="233" w:name="_Toc15118245"/>
      <w:bookmarkStart w:id="234" w:name="_Toc57530252"/>
    </w:p>
    <w:p w14:paraId="4BDF93E5" w14:textId="77777777" w:rsidR="007C736D" w:rsidRDefault="00662CFB">
      <w:pPr>
        <w:spacing w:line="360" w:lineRule="auto"/>
        <w:ind w:firstLine="480"/>
        <w:rPr>
          <w:bCs/>
          <w:sz w:val="24"/>
        </w:rPr>
      </w:pPr>
      <w:r>
        <w:rPr>
          <w:bCs/>
          <w:sz w:val="24"/>
        </w:rPr>
        <w:t>一、基金管理人和基金托管人职责终止的情形</w:t>
      </w:r>
      <w:bookmarkEnd w:id="232"/>
      <w:bookmarkEnd w:id="233"/>
      <w:bookmarkEnd w:id="234"/>
    </w:p>
    <w:p w14:paraId="2CD470F8" w14:textId="77777777" w:rsidR="007C736D" w:rsidRDefault="00662CFB">
      <w:pPr>
        <w:spacing w:line="360" w:lineRule="auto"/>
        <w:ind w:firstLine="480"/>
        <w:rPr>
          <w:bCs/>
          <w:sz w:val="24"/>
        </w:rPr>
      </w:pPr>
      <w:bookmarkStart w:id="235" w:name="_Toc22005971"/>
      <w:r>
        <w:rPr>
          <w:bCs/>
          <w:sz w:val="24"/>
        </w:rPr>
        <w:t>（一）</w:t>
      </w:r>
      <w:r>
        <w:rPr>
          <w:bCs/>
          <w:sz w:val="24"/>
        </w:rPr>
        <w:tab/>
      </w:r>
      <w:r>
        <w:rPr>
          <w:bCs/>
          <w:sz w:val="24"/>
        </w:rPr>
        <w:t>基金管理人职责终止的情形</w:t>
      </w:r>
      <w:bookmarkEnd w:id="235"/>
    </w:p>
    <w:p w14:paraId="1B137E84" w14:textId="77777777" w:rsidR="007C736D" w:rsidRDefault="00662CFB">
      <w:pPr>
        <w:spacing w:line="360" w:lineRule="auto"/>
        <w:ind w:firstLine="480"/>
        <w:rPr>
          <w:bCs/>
          <w:sz w:val="24"/>
        </w:rPr>
      </w:pPr>
      <w:r>
        <w:rPr>
          <w:bCs/>
          <w:sz w:val="24"/>
        </w:rPr>
        <w:t>有下列情形之一的，基金管理人职责终止：</w:t>
      </w:r>
    </w:p>
    <w:p w14:paraId="7D906AEB" w14:textId="77777777" w:rsidR="007C736D" w:rsidRDefault="00662CFB">
      <w:pPr>
        <w:spacing w:line="360" w:lineRule="auto"/>
        <w:ind w:firstLine="480"/>
        <w:rPr>
          <w:bCs/>
          <w:sz w:val="24"/>
        </w:rPr>
      </w:pPr>
      <w:r>
        <w:rPr>
          <w:bCs/>
          <w:sz w:val="24"/>
        </w:rPr>
        <w:t>1</w:t>
      </w:r>
      <w:r>
        <w:rPr>
          <w:bCs/>
          <w:sz w:val="24"/>
        </w:rPr>
        <w:t>、被依法取消基金管理资格；</w:t>
      </w:r>
    </w:p>
    <w:p w14:paraId="4634602E" w14:textId="77777777" w:rsidR="007C736D" w:rsidRDefault="00662CFB">
      <w:pPr>
        <w:spacing w:line="360" w:lineRule="auto"/>
        <w:ind w:firstLine="480"/>
        <w:rPr>
          <w:bCs/>
          <w:sz w:val="24"/>
        </w:rPr>
      </w:pPr>
      <w:r>
        <w:rPr>
          <w:bCs/>
          <w:sz w:val="24"/>
        </w:rPr>
        <w:t>2</w:t>
      </w:r>
      <w:r>
        <w:rPr>
          <w:bCs/>
          <w:sz w:val="24"/>
        </w:rPr>
        <w:t>、被基金份额持有人大会解任；</w:t>
      </w:r>
    </w:p>
    <w:p w14:paraId="62FA5276" w14:textId="77777777" w:rsidR="007C736D" w:rsidRDefault="00662CFB">
      <w:pPr>
        <w:spacing w:line="360" w:lineRule="auto"/>
        <w:ind w:firstLine="480"/>
        <w:rPr>
          <w:bCs/>
          <w:sz w:val="24"/>
        </w:rPr>
      </w:pPr>
      <w:r>
        <w:rPr>
          <w:bCs/>
          <w:sz w:val="24"/>
        </w:rPr>
        <w:t>3</w:t>
      </w:r>
      <w:r>
        <w:rPr>
          <w:bCs/>
          <w:sz w:val="24"/>
        </w:rPr>
        <w:t>、依法解散、被依法撤销或被依法宣告破产；</w:t>
      </w:r>
    </w:p>
    <w:p w14:paraId="371DE562" w14:textId="77777777" w:rsidR="007C736D" w:rsidRDefault="00662CFB">
      <w:pPr>
        <w:spacing w:line="360" w:lineRule="auto"/>
        <w:ind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41B01DC9" w14:textId="77777777" w:rsidR="007C736D" w:rsidRDefault="00662CFB">
      <w:pPr>
        <w:spacing w:line="360" w:lineRule="auto"/>
        <w:ind w:firstLine="480"/>
        <w:rPr>
          <w:bCs/>
          <w:sz w:val="24"/>
        </w:rPr>
      </w:pPr>
      <w:bookmarkStart w:id="236" w:name="_Toc22005972"/>
      <w:r>
        <w:rPr>
          <w:bCs/>
          <w:sz w:val="24"/>
        </w:rPr>
        <w:t>（二）</w:t>
      </w:r>
      <w:r>
        <w:rPr>
          <w:bCs/>
          <w:sz w:val="24"/>
        </w:rPr>
        <w:tab/>
      </w:r>
      <w:r>
        <w:rPr>
          <w:bCs/>
          <w:sz w:val="24"/>
        </w:rPr>
        <w:t>基金托管人职责终止的情形</w:t>
      </w:r>
      <w:bookmarkEnd w:id="236"/>
    </w:p>
    <w:p w14:paraId="6C5B722A" w14:textId="77777777" w:rsidR="007C736D" w:rsidRDefault="00662CFB">
      <w:pPr>
        <w:spacing w:line="360" w:lineRule="auto"/>
        <w:ind w:firstLine="480"/>
        <w:rPr>
          <w:bCs/>
          <w:sz w:val="24"/>
        </w:rPr>
      </w:pPr>
      <w:r>
        <w:rPr>
          <w:bCs/>
          <w:sz w:val="24"/>
        </w:rPr>
        <w:t>有下列情形之一的，基金托管人职责终止：</w:t>
      </w:r>
    </w:p>
    <w:p w14:paraId="151D6B01" w14:textId="77777777" w:rsidR="007C736D" w:rsidRDefault="00662CFB">
      <w:pPr>
        <w:spacing w:line="360" w:lineRule="auto"/>
        <w:ind w:firstLine="480"/>
        <w:rPr>
          <w:bCs/>
          <w:sz w:val="24"/>
        </w:rPr>
      </w:pPr>
      <w:r>
        <w:rPr>
          <w:bCs/>
          <w:sz w:val="24"/>
        </w:rPr>
        <w:t>1</w:t>
      </w:r>
      <w:r>
        <w:rPr>
          <w:bCs/>
          <w:sz w:val="24"/>
        </w:rPr>
        <w:t>、被依法取消基金托管资格；</w:t>
      </w:r>
    </w:p>
    <w:p w14:paraId="68D73E2B" w14:textId="77777777" w:rsidR="007C736D" w:rsidRDefault="00662CFB">
      <w:pPr>
        <w:spacing w:line="360" w:lineRule="auto"/>
        <w:ind w:firstLine="480"/>
        <w:rPr>
          <w:bCs/>
          <w:sz w:val="24"/>
        </w:rPr>
      </w:pPr>
      <w:r>
        <w:rPr>
          <w:bCs/>
          <w:sz w:val="24"/>
        </w:rPr>
        <w:t>2</w:t>
      </w:r>
      <w:r>
        <w:rPr>
          <w:bCs/>
          <w:sz w:val="24"/>
        </w:rPr>
        <w:t>、被基金份额持有人大会解任；</w:t>
      </w:r>
    </w:p>
    <w:p w14:paraId="229C1C1D" w14:textId="77777777" w:rsidR="007C736D" w:rsidRDefault="00662CFB">
      <w:pPr>
        <w:spacing w:line="360" w:lineRule="auto"/>
        <w:ind w:firstLine="480"/>
        <w:rPr>
          <w:bCs/>
          <w:sz w:val="24"/>
        </w:rPr>
      </w:pPr>
      <w:r>
        <w:rPr>
          <w:bCs/>
          <w:sz w:val="24"/>
        </w:rPr>
        <w:t>3</w:t>
      </w:r>
      <w:r>
        <w:rPr>
          <w:bCs/>
          <w:sz w:val="24"/>
        </w:rPr>
        <w:t>、依法解散、被依法撤销或被依法宣告破产；</w:t>
      </w:r>
    </w:p>
    <w:p w14:paraId="51B45BFB" w14:textId="77777777" w:rsidR="007C736D" w:rsidRDefault="00662CFB">
      <w:pPr>
        <w:spacing w:line="360" w:lineRule="auto"/>
        <w:ind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3CB7029C" w14:textId="77777777" w:rsidR="007C736D" w:rsidRDefault="00662CFB">
      <w:pPr>
        <w:spacing w:line="360" w:lineRule="auto"/>
        <w:ind w:firstLine="480"/>
        <w:rPr>
          <w:bCs/>
          <w:sz w:val="24"/>
        </w:rPr>
      </w:pPr>
      <w:bookmarkStart w:id="237" w:name="_Toc57530253"/>
      <w:bookmarkStart w:id="238" w:name="_Toc79392594"/>
      <w:bookmarkStart w:id="239" w:name="_Toc15118246"/>
      <w:r>
        <w:rPr>
          <w:bCs/>
          <w:sz w:val="24"/>
        </w:rPr>
        <w:t>二、基金管理人和基金托管人的更换程序</w:t>
      </w:r>
      <w:bookmarkEnd w:id="237"/>
      <w:bookmarkEnd w:id="238"/>
      <w:bookmarkEnd w:id="239"/>
    </w:p>
    <w:p w14:paraId="49BEB74F" w14:textId="77777777" w:rsidR="007C736D" w:rsidRDefault="00662CFB">
      <w:pPr>
        <w:spacing w:line="360" w:lineRule="auto"/>
        <w:ind w:firstLine="480"/>
        <w:rPr>
          <w:bCs/>
          <w:sz w:val="24"/>
        </w:rPr>
      </w:pPr>
      <w:bookmarkStart w:id="240" w:name="_Toc22005974"/>
      <w:r>
        <w:rPr>
          <w:bCs/>
          <w:sz w:val="24"/>
        </w:rPr>
        <w:t>（一）</w:t>
      </w:r>
      <w:r>
        <w:rPr>
          <w:bCs/>
          <w:sz w:val="24"/>
        </w:rPr>
        <w:tab/>
      </w:r>
      <w:r>
        <w:rPr>
          <w:bCs/>
          <w:sz w:val="24"/>
        </w:rPr>
        <w:t>基金管理人的更换程序</w:t>
      </w:r>
      <w:bookmarkEnd w:id="240"/>
    </w:p>
    <w:p w14:paraId="3267B574" w14:textId="77777777" w:rsidR="007C736D" w:rsidRDefault="00662CFB">
      <w:pPr>
        <w:spacing w:line="360" w:lineRule="auto"/>
        <w:ind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1B7CADC6" w14:textId="77777777" w:rsidR="007C736D" w:rsidRDefault="00662CFB">
      <w:pPr>
        <w:spacing w:line="360" w:lineRule="auto"/>
        <w:ind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0CA6C1BB" w14:textId="77777777" w:rsidR="007C736D" w:rsidRDefault="00662CFB">
      <w:pPr>
        <w:spacing w:line="360" w:lineRule="auto"/>
        <w:ind w:firstLine="480"/>
        <w:rPr>
          <w:bCs/>
          <w:sz w:val="24"/>
        </w:rPr>
      </w:pPr>
      <w:r>
        <w:rPr>
          <w:bCs/>
          <w:sz w:val="24"/>
        </w:rPr>
        <w:t>3</w:t>
      </w:r>
      <w:r>
        <w:rPr>
          <w:bCs/>
          <w:sz w:val="24"/>
        </w:rPr>
        <w:t>、临时基金管理人：新任基金管理人产生之前，由中国证监会指定临时基金管理人；</w:t>
      </w:r>
    </w:p>
    <w:p w14:paraId="6A498934" w14:textId="77777777" w:rsidR="007C736D" w:rsidRDefault="00662CFB">
      <w:pPr>
        <w:spacing w:line="360" w:lineRule="auto"/>
        <w:ind w:firstLine="480"/>
        <w:rPr>
          <w:bCs/>
          <w:sz w:val="24"/>
        </w:rPr>
      </w:pPr>
      <w:r>
        <w:rPr>
          <w:bCs/>
          <w:sz w:val="24"/>
        </w:rPr>
        <w:t>4</w:t>
      </w:r>
      <w:r>
        <w:rPr>
          <w:bCs/>
          <w:sz w:val="24"/>
        </w:rPr>
        <w:t>、</w:t>
      </w:r>
      <w:r>
        <w:rPr>
          <w:rFonts w:hint="eastAsia"/>
          <w:bCs/>
          <w:sz w:val="24"/>
        </w:rPr>
        <w:t>备案</w:t>
      </w:r>
      <w:r>
        <w:rPr>
          <w:bCs/>
          <w:sz w:val="24"/>
        </w:rPr>
        <w:t>：</w:t>
      </w:r>
      <w:r>
        <w:rPr>
          <w:rFonts w:hint="eastAsia"/>
          <w:bCs/>
          <w:sz w:val="24"/>
        </w:rPr>
        <w:t>基金份额持有人大会更换基金管理人的决议须报中国证监会备案</w:t>
      </w:r>
      <w:r>
        <w:rPr>
          <w:bCs/>
          <w:sz w:val="24"/>
        </w:rPr>
        <w:t>；</w:t>
      </w:r>
    </w:p>
    <w:p w14:paraId="06FA1A88" w14:textId="77777777" w:rsidR="007C736D" w:rsidRDefault="00662CFB">
      <w:pPr>
        <w:spacing w:line="360" w:lineRule="auto"/>
        <w:ind w:firstLine="480"/>
        <w:rPr>
          <w:bCs/>
          <w:sz w:val="24"/>
        </w:rPr>
      </w:pPr>
      <w:r>
        <w:rPr>
          <w:bCs/>
          <w:sz w:val="24"/>
        </w:rPr>
        <w:t>5</w:t>
      </w:r>
      <w:r>
        <w:rPr>
          <w:bCs/>
          <w:sz w:val="24"/>
        </w:rPr>
        <w:t>、公告：基金管理人更换后，由基金托管人在</w:t>
      </w:r>
      <w:r>
        <w:rPr>
          <w:rFonts w:hint="eastAsia"/>
          <w:bCs/>
          <w:sz w:val="24"/>
        </w:rPr>
        <w:t>更换基金管理人的基金份额持有人大会决议生效</w:t>
      </w:r>
      <w:r>
        <w:rPr>
          <w:bCs/>
          <w:sz w:val="24"/>
        </w:rPr>
        <w:t>后</w:t>
      </w:r>
      <w:r>
        <w:rPr>
          <w:bCs/>
          <w:sz w:val="24"/>
        </w:rPr>
        <w:t>2</w:t>
      </w:r>
      <w:r>
        <w:rPr>
          <w:bCs/>
          <w:sz w:val="24"/>
        </w:rPr>
        <w:t>日内在</w:t>
      </w:r>
      <w:r>
        <w:rPr>
          <w:rFonts w:hint="eastAsia"/>
          <w:bCs/>
          <w:sz w:val="24"/>
        </w:rPr>
        <w:t>规定媒介</w:t>
      </w:r>
      <w:r>
        <w:rPr>
          <w:bCs/>
          <w:sz w:val="24"/>
        </w:rPr>
        <w:t>公告</w:t>
      </w:r>
      <w:r>
        <w:rPr>
          <w:rFonts w:hint="eastAsia"/>
          <w:bCs/>
          <w:sz w:val="24"/>
        </w:rPr>
        <w:t>；</w:t>
      </w:r>
    </w:p>
    <w:p w14:paraId="36930979" w14:textId="77777777" w:rsidR="007C736D" w:rsidRDefault="00662CFB">
      <w:pPr>
        <w:spacing w:line="360" w:lineRule="auto"/>
        <w:ind w:firstLine="480"/>
        <w:rPr>
          <w:bCs/>
          <w:sz w:val="24"/>
        </w:rPr>
      </w:pPr>
      <w:r>
        <w:rPr>
          <w:bCs/>
          <w:sz w:val="24"/>
        </w:rPr>
        <w:t>6</w:t>
      </w:r>
      <w:r>
        <w:rPr>
          <w:bCs/>
          <w:sz w:val="24"/>
        </w:rPr>
        <w:t>、交接：基金管理人职责终止的，</w:t>
      </w:r>
      <w:r>
        <w:rPr>
          <w:rFonts w:hint="eastAsia"/>
          <w:bCs/>
          <w:sz w:val="24"/>
        </w:rPr>
        <w:t>原</w:t>
      </w:r>
      <w:r>
        <w:rPr>
          <w:bCs/>
          <w:sz w:val="24"/>
        </w:rPr>
        <w:t>基金管理人应妥善保管基金管理业务资料，及时向临时基金管理人或新任基金管理人办理基金管理业务的移交手续，</w:t>
      </w:r>
      <w:r>
        <w:rPr>
          <w:bCs/>
          <w:sz w:val="24"/>
        </w:rPr>
        <w:lastRenderedPageBreak/>
        <w:t>临时基金管理人或新任基金管理人应及时接收。新任基金管理人</w:t>
      </w:r>
      <w:r>
        <w:rPr>
          <w:rFonts w:hint="eastAsia"/>
          <w:bCs/>
          <w:sz w:val="24"/>
        </w:rPr>
        <w:t>或临时基金管理人</w:t>
      </w:r>
      <w:r>
        <w:rPr>
          <w:bCs/>
          <w:sz w:val="24"/>
        </w:rPr>
        <w:t>应与基金托管人核对基金资产总值</w:t>
      </w:r>
      <w:r>
        <w:rPr>
          <w:rFonts w:hint="eastAsia"/>
          <w:bCs/>
          <w:sz w:val="24"/>
        </w:rPr>
        <w:t>和净值</w:t>
      </w:r>
      <w:r>
        <w:rPr>
          <w:bCs/>
          <w:sz w:val="24"/>
        </w:rPr>
        <w:t>；</w:t>
      </w:r>
    </w:p>
    <w:p w14:paraId="5BC470DC" w14:textId="77777777" w:rsidR="007C736D" w:rsidRDefault="00662CFB">
      <w:pPr>
        <w:spacing w:line="360" w:lineRule="auto"/>
        <w:ind w:firstLine="480"/>
        <w:rPr>
          <w:bCs/>
          <w:sz w:val="24"/>
        </w:rPr>
      </w:pPr>
      <w:r>
        <w:rPr>
          <w:bCs/>
          <w:sz w:val="24"/>
        </w:rPr>
        <w:t>7</w:t>
      </w:r>
      <w:r>
        <w:rPr>
          <w:bCs/>
          <w:sz w:val="24"/>
        </w:rPr>
        <w:t>、审计：基金管理人职责终止的，应当按照法律法规规定聘请</w:t>
      </w:r>
      <w:r>
        <w:rPr>
          <w:rFonts w:hint="eastAsia"/>
          <w:bCs/>
          <w:sz w:val="24"/>
        </w:rPr>
        <w:t>符合《中华人民共和国证券法》规</w:t>
      </w:r>
      <w:r>
        <w:rPr>
          <w:rFonts w:hint="eastAsia"/>
          <w:bCs/>
          <w:sz w:val="24"/>
        </w:rPr>
        <w:t>定的</w:t>
      </w:r>
      <w:r>
        <w:rPr>
          <w:bCs/>
          <w:sz w:val="24"/>
        </w:rPr>
        <w:t>会计师事务所对基金财产进行审计，并将审计结果予以公告，同时报中国证监会备案</w:t>
      </w:r>
      <w:r>
        <w:rPr>
          <w:rFonts w:hint="eastAsia"/>
          <w:bCs/>
          <w:sz w:val="24"/>
        </w:rPr>
        <w:t>，审计费从基金财产中列支</w:t>
      </w:r>
      <w:r>
        <w:rPr>
          <w:bCs/>
          <w:sz w:val="24"/>
        </w:rPr>
        <w:t>；</w:t>
      </w:r>
    </w:p>
    <w:p w14:paraId="568C3A75" w14:textId="77777777" w:rsidR="007C736D" w:rsidRDefault="00662CFB">
      <w:pPr>
        <w:spacing w:line="360" w:lineRule="auto"/>
        <w:ind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14:paraId="74660FE2" w14:textId="77777777" w:rsidR="007C736D" w:rsidRDefault="00662CFB">
      <w:pPr>
        <w:spacing w:line="360" w:lineRule="auto"/>
        <w:ind w:firstLine="480"/>
        <w:rPr>
          <w:bCs/>
          <w:sz w:val="24"/>
        </w:rPr>
      </w:pPr>
      <w:bookmarkStart w:id="241" w:name="_Toc22005975"/>
      <w:r>
        <w:rPr>
          <w:bCs/>
          <w:sz w:val="24"/>
        </w:rPr>
        <w:t>（二）</w:t>
      </w:r>
      <w:r>
        <w:rPr>
          <w:bCs/>
          <w:sz w:val="24"/>
        </w:rPr>
        <w:tab/>
      </w:r>
      <w:r>
        <w:rPr>
          <w:bCs/>
          <w:sz w:val="24"/>
        </w:rPr>
        <w:t>基金托管人的更换程序</w:t>
      </w:r>
      <w:bookmarkEnd w:id="241"/>
    </w:p>
    <w:p w14:paraId="35742294" w14:textId="77777777" w:rsidR="007C736D" w:rsidRDefault="00662CFB">
      <w:pPr>
        <w:spacing w:line="360" w:lineRule="auto"/>
        <w:ind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00652BFE" w14:textId="77777777" w:rsidR="007C736D" w:rsidRDefault="00662CFB">
      <w:pPr>
        <w:spacing w:line="360" w:lineRule="auto"/>
        <w:ind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7C5D37FA" w14:textId="77777777" w:rsidR="007C736D" w:rsidRDefault="00662CFB">
      <w:pPr>
        <w:spacing w:line="360" w:lineRule="auto"/>
        <w:ind w:firstLine="480"/>
        <w:rPr>
          <w:bCs/>
          <w:sz w:val="24"/>
        </w:rPr>
      </w:pPr>
      <w:r>
        <w:rPr>
          <w:bCs/>
          <w:sz w:val="24"/>
        </w:rPr>
        <w:t>3</w:t>
      </w:r>
      <w:r>
        <w:rPr>
          <w:bCs/>
          <w:sz w:val="24"/>
        </w:rPr>
        <w:t>、临时基金托管人：新任基金托管人产生之前，由中国证监会指定临时基金托管人；</w:t>
      </w:r>
    </w:p>
    <w:p w14:paraId="1125F160" w14:textId="77777777" w:rsidR="007C736D" w:rsidRDefault="00662CFB">
      <w:pPr>
        <w:spacing w:line="360" w:lineRule="auto"/>
        <w:ind w:firstLine="480"/>
        <w:rPr>
          <w:bCs/>
          <w:sz w:val="24"/>
        </w:rPr>
      </w:pPr>
      <w:r>
        <w:rPr>
          <w:bCs/>
          <w:sz w:val="24"/>
        </w:rPr>
        <w:t>4</w:t>
      </w:r>
      <w:r>
        <w:rPr>
          <w:bCs/>
          <w:sz w:val="24"/>
        </w:rPr>
        <w:t>、</w:t>
      </w:r>
      <w:r>
        <w:rPr>
          <w:rFonts w:hint="eastAsia"/>
          <w:bCs/>
          <w:sz w:val="24"/>
        </w:rPr>
        <w:t>备案：基金份额持有人大会更换基金托管人的决议须报中国证监会备案</w:t>
      </w:r>
      <w:r>
        <w:rPr>
          <w:bCs/>
          <w:sz w:val="24"/>
        </w:rPr>
        <w:t>；</w:t>
      </w:r>
    </w:p>
    <w:p w14:paraId="1A1CAF0B" w14:textId="77777777" w:rsidR="007C736D" w:rsidRDefault="00662CFB">
      <w:pPr>
        <w:spacing w:line="360" w:lineRule="auto"/>
        <w:ind w:firstLine="480"/>
        <w:rPr>
          <w:bCs/>
          <w:sz w:val="24"/>
        </w:rPr>
      </w:pPr>
      <w:r>
        <w:rPr>
          <w:bCs/>
          <w:sz w:val="24"/>
        </w:rPr>
        <w:t>5</w:t>
      </w:r>
      <w:r>
        <w:rPr>
          <w:bCs/>
          <w:sz w:val="24"/>
        </w:rPr>
        <w:t>、公告：基金托管人更换后，由基金管理人在</w:t>
      </w:r>
      <w:r>
        <w:rPr>
          <w:rFonts w:hint="eastAsia"/>
          <w:bCs/>
          <w:sz w:val="24"/>
        </w:rPr>
        <w:t>更换基金托管人的基金份额持有人大会决议生效</w:t>
      </w:r>
      <w:r>
        <w:rPr>
          <w:bCs/>
          <w:sz w:val="24"/>
        </w:rPr>
        <w:t>后</w:t>
      </w:r>
      <w:r>
        <w:rPr>
          <w:rFonts w:hint="eastAsia"/>
          <w:bCs/>
          <w:sz w:val="24"/>
        </w:rPr>
        <w:t>2</w:t>
      </w:r>
      <w:r>
        <w:rPr>
          <w:bCs/>
          <w:sz w:val="24"/>
        </w:rPr>
        <w:t>日内在</w:t>
      </w:r>
      <w:r>
        <w:rPr>
          <w:rFonts w:hint="eastAsia"/>
          <w:bCs/>
          <w:sz w:val="24"/>
        </w:rPr>
        <w:t>规定媒介</w:t>
      </w:r>
      <w:r>
        <w:rPr>
          <w:bCs/>
          <w:sz w:val="24"/>
        </w:rPr>
        <w:t>公告</w:t>
      </w:r>
      <w:r>
        <w:rPr>
          <w:rFonts w:hint="eastAsia"/>
          <w:bCs/>
          <w:sz w:val="24"/>
        </w:rPr>
        <w:t>；</w:t>
      </w:r>
    </w:p>
    <w:p w14:paraId="65CE5650" w14:textId="77777777" w:rsidR="007C736D" w:rsidRDefault="00662CFB">
      <w:pPr>
        <w:spacing w:line="360" w:lineRule="auto"/>
        <w:ind w:firstLine="480"/>
        <w:rPr>
          <w:bCs/>
          <w:sz w:val="24"/>
        </w:rPr>
      </w:pPr>
      <w:r>
        <w:rPr>
          <w:bCs/>
          <w:sz w:val="24"/>
        </w:rPr>
        <w:t>6</w:t>
      </w:r>
      <w:r>
        <w:rPr>
          <w:bCs/>
          <w:sz w:val="24"/>
        </w:rPr>
        <w:t>、交接：基金托管人职责终止的，</w:t>
      </w:r>
      <w:r>
        <w:rPr>
          <w:rFonts w:hint="eastAsia"/>
          <w:bCs/>
          <w:sz w:val="24"/>
        </w:rPr>
        <w:t>原基金托管人应当妥善保管基金财产和基金托管业务资料，及时向临时基金托管人或新任基金托管人办理基金财产和基金托管业务的移交手续，新任基金托管人或者临时基金托管人</w:t>
      </w:r>
      <w:r>
        <w:rPr>
          <w:rFonts w:hint="eastAsia"/>
          <w:bCs/>
          <w:sz w:val="24"/>
        </w:rPr>
        <w:t>应当及时接收</w:t>
      </w:r>
      <w:r>
        <w:rPr>
          <w:bCs/>
          <w:sz w:val="24"/>
        </w:rPr>
        <w:t>。新任基金托管人</w:t>
      </w:r>
      <w:r>
        <w:rPr>
          <w:rFonts w:hint="eastAsia"/>
          <w:bCs/>
          <w:sz w:val="24"/>
        </w:rPr>
        <w:t>或临时基金托管人应</w:t>
      </w:r>
      <w:r>
        <w:rPr>
          <w:bCs/>
          <w:sz w:val="24"/>
        </w:rPr>
        <w:t>与基金管理人核对基金资产总值</w:t>
      </w:r>
      <w:r>
        <w:rPr>
          <w:rFonts w:hint="eastAsia"/>
          <w:bCs/>
          <w:sz w:val="24"/>
        </w:rPr>
        <w:t>和净值</w:t>
      </w:r>
      <w:r>
        <w:rPr>
          <w:bCs/>
          <w:sz w:val="24"/>
        </w:rPr>
        <w:t>；</w:t>
      </w:r>
    </w:p>
    <w:p w14:paraId="1BE2A5C6" w14:textId="77777777" w:rsidR="007C736D" w:rsidRDefault="00662CFB">
      <w:pPr>
        <w:spacing w:line="360" w:lineRule="auto"/>
        <w:ind w:firstLine="480"/>
        <w:rPr>
          <w:bCs/>
          <w:sz w:val="24"/>
        </w:rPr>
      </w:pPr>
      <w:r>
        <w:rPr>
          <w:bCs/>
          <w:sz w:val="24"/>
        </w:rPr>
        <w:t>7</w:t>
      </w:r>
      <w:r>
        <w:rPr>
          <w:bCs/>
          <w:sz w:val="24"/>
        </w:rPr>
        <w:t>、审计：基金托管人职责终止的，应当按照法律法规规定聘请</w:t>
      </w:r>
      <w:r>
        <w:rPr>
          <w:rFonts w:hint="eastAsia"/>
          <w:bCs/>
          <w:sz w:val="24"/>
        </w:rPr>
        <w:t>符合《中华人民共和国证券法》规定的</w:t>
      </w:r>
      <w:r>
        <w:rPr>
          <w:bCs/>
          <w:sz w:val="24"/>
        </w:rPr>
        <w:t>会计师事务所对基金财产进行审计，并将审计结果予以公告，同时报中国证监会备案</w:t>
      </w:r>
      <w:r>
        <w:rPr>
          <w:rFonts w:hint="eastAsia"/>
          <w:bCs/>
          <w:sz w:val="24"/>
        </w:rPr>
        <w:t>，审计费从基金财产中列支</w:t>
      </w:r>
      <w:r>
        <w:rPr>
          <w:bCs/>
          <w:sz w:val="24"/>
        </w:rPr>
        <w:t>。</w:t>
      </w:r>
    </w:p>
    <w:p w14:paraId="7E2B10F3" w14:textId="77777777" w:rsidR="007C736D" w:rsidRDefault="00662CFB">
      <w:pPr>
        <w:spacing w:line="360" w:lineRule="auto"/>
        <w:ind w:firstLine="480"/>
        <w:rPr>
          <w:bCs/>
          <w:sz w:val="24"/>
        </w:rPr>
      </w:pPr>
      <w:bookmarkStart w:id="242" w:name="_Toc1357"/>
      <w:r>
        <w:rPr>
          <w:bCs/>
          <w:sz w:val="24"/>
        </w:rPr>
        <w:t>（三）基金管理人与基金托管人同时更换的条件和程序</w:t>
      </w:r>
      <w:bookmarkEnd w:id="242"/>
    </w:p>
    <w:p w14:paraId="616D639B" w14:textId="77777777" w:rsidR="007C736D" w:rsidRDefault="00662CFB">
      <w:pPr>
        <w:spacing w:line="360" w:lineRule="auto"/>
        <w:ind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637B1959" w14:textId="77777777" w:rsidR="007C736D" w:rsidRDefault="00662CFB">
      <w:pPr>
        <w:spacing w:line="360" w:lineRule="auto"/>
        <w:ind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39661E61" w14:textId="77777777" w:rsidR="007C736D" w:rsidRDefault="00662CFB">
      <w:pPr>
        <w:spacing w:line="360" w:lineRule="auto"/>
        <w:ind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bCs/>
          <w:sz w:val="24"/>
        </w:rPr>
        <w:t>2</w:t>
      </w:r>
      <w:r>
        <w:rPr>
          <w:bCs/>
          <w:sz w:val="24"/>
        </w:rPr>
        <w:t>日内在规定媒介上联合公告。</w:t>
      </w:r>
    </w:p>
    <w:p w14:paraId="07C6F77E" w14:textId="77777777" w:rsidR="007C736D" w:rsidRDefault="00662CFB">
      <w:pPr>
        <w:spacing w:line="360" w:lineRule="auto"/>
        <w:ind w:firstLine="480"/>
        <w:rPr>
          <w:bCs/>
          <w:sz w:val="24"/>
        </w:rPr>
      </w:pPr>
      <w:r>
        <w:rPr>
          <w:rFonts w:hint="eastAsia"/>
          <w:bCs/>
          <w:sz w:val="24"/>
        </w:rPr>
        <w:t>三、新任基金管理人或临时基金管理人接收基金管理业务，或新任基金托管人或临时基金托管人接收基金财产和基金托管业务前，原基金管理人或原基金托管人应依据法律法规和基金合同的规定继续履行相关职责，并保证不做出对基金份额持有人的利益造成损害的行为。原基金管理人或原基金托管人在继续履行相关职责期间，仍有权按照本基金合同的规定收取基金管理费或基</w:t>
      </w:r>
      <w:r>
        <w:rPr>
          <w:rFonts w:hint="eastAsia"/>
          <w:bCs/>
          <w:sz w:val="24"/>
        </w:rPr>
        <w:t>金托管费。</w:t>
      </w:r>
    </w:p>
    <w:p w14:paraId="2A21845B" w14:textId="77777777" w:rsidR="007C736D" w:rsidRDefault="00662CFB">
      <w:pPr>
        <w:spacing w:line="360" w:lineRule="auto"/>
        <w:ind w:firstLine="480"/>
        <w:rPr>
          <w:bCs/>
          <w:sz w:val="24"/>
        </w:rPr>
      </w:pPr>
      <w:r>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14BA8EBE" w14:textId="77777777" w:rsidR="007C736D" w:rsidRDefault="00662CFB">
      <w:pPr>
        <w:pStyle w:val="1110"/>
        <w:spacing w:before="0" w:after="0"/>
        <w:jc w:val="center"/>
        <w:rPr>
          <w:rFonts w:ascii="Times New Roman"/>
          <w:b w:val="0"/>
          <w:color w:val="auto"/>
          <w:sz w:val="30"/>
        </w:rPr>
      </w:pPr>
      <w:r>
        <w:rPr>
          <w:rFonts w:ascii="Times New Roman"/>
          <w:b w:val="0"/>
          <w:color w:val="auto"/>
        </w:rPr>
        <w:br w:type="page"/>
      </w:r>
      <w:bookmarkStart w:id="243" w:name="_Toc5170"/>
      <w:bookmarkStart w:id="244" w:name="_Toc136360679"/>
      <w:bookmarkStart w:id="245" w:name="_Toc21237"/>
      <w:bookmarkStart w:id="246" w:name="_Toc48649708"/>
      <w:bookmarkStart w:id="247" w:name="_Toc739"/>
      <w:bookmarkStart w:id="248" w:name="_Toc79392622"/>
      <w:bookmarkStart w:id="249" w:name="_Toc25072219"/>
      <w:bookmarkStart w:id="250" w:name="_Toc123051456"/>
      <w:bookmarkStart w:id="251" w:name="_Toc17198"/>
      <w:bookmarkStart w:id="252" w:name="_Toc123102457"/>
      <w:bookmarkStart w:id="253" w:name="_Toc8791"/>
      <w:bookmarkStart w:id="254" w:name="_Toc32584"/>
      <w:bookmarkStart w:id="255" w:name="_Toc17920"/>
      <w:bookmarkStart w:id="256" w:name="_Toc32092"/>
      <w:bookmarkStart w:id="257" w:name="_Toc123112238"/>
      <w:bookmarkStart w:id="258" w:name="_Toc3329"/>
      <w:bookmarkStart w:id="259" w:name="_Toc139991740"/>
      <w:bookmarkStart w:id="260" w:name="_Toc141703890"/>
      <w:bookmarkStart w:id="261" w:name="_Toc29408"/>
      <w:bookmarkStart w:id="262" w:name="_Toc98560356"/>
      <w:r>
        <w:rPr>
          <w:rFonts w:ascii="Times New Roman" w:hint="eastAsia"/>
          <w:b w:val="0"/>
          <w:color w:val="auto"/>
          <w:sz w:val="30"/>
        </w:rPr>
        <w:lastRenderedPageBreak/>
        <w:t>第十部分</w:t>
      </w:r>
      <w:r>
        <w:rPr>
          <w:rFonts w:ascii="Times New Roman" w:hint="eastAsia"/>
          <w:b w:val="0"/>
          <w:color w:val="auto"/>
          <w:sz w:val="30"/>
        </w:rPr>
        <w:t xml:space="preserve"> </w:t>
      </w:r>
      <w:r>
        <w:rPr>
          <w:rFonts w:ascii="Times New Roman"/>
          <w:b w:val="0"/>
          <w:color w:val="auto"/>
          <w:sz w:val="30"/>
        </w:rPr>
        <w:t xml:space="preserve"> </w:t>
      </w:r>
      <w:r>
        <w:rPr>
          <w:rFonts w:ascii="Times New Roman" w:hint="eastAsia"/>
          <w:b w:val="0"/>
          <w:color w:val="auto"/>
          <w:sz w:val="30"/>
        </w:rPr>
        <w:t>基金的托管</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2C7D33BE" w14:textId="77777777" w:rsidR="007C736D" w:rsidRDefault="007C736D">
      <w:pPr>
        <w:spacing w:line="360" w:lineRule="auto"/>
        <w:rPr>
          <w:bCs/>
          <w:sz w:val="24"/>
        </w:rPr>
      </w:pPr>
    </w:p>
    <w:p w14:paraId="79C7CC85" w14:textId="77777777" w:rsidR="007C736D" w:rsidRDefault="00662CFB">
      <w:pPr>
        <w:spacing w:line="360" w:lineRule="auto"/>
        <w:ind w:firstLine="480"/>
        <w:rPr>
          <w:bCs/>
          <w:sz w:val="24"/>
        </w:rPr>
      </w:pPr>
      <w:r>
        <w:rPr>
          <w:bCs/>
          <w:sz w:val="24"/>
        </w:rPr>
        <w:t>基金托管人和基金管理人按照《基金法》、《基金合同》及其他有关规定订立托管协议。</w:t>
      </w:r>
    </w:p>
    <w:p w14:paraId="493936A0" w14:textId="77777777" w:rsidR="007C736D" w:rsidRDefault="00662CFB">
      <w:pPr>
        <w:spacing w:line="360" w:lineRule="auto"/>
        <w:ind w:firstLine="480"/>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089767C" w14:textId="77777777" w:rsidR="007C736D" w:rsidRDefault="00662CFB">
      <w:pPr>
        <w:pStyle w:val="1110"/>
        <w:spacing w:before="0" w:after="0"/>
        <w:jc w:val="center"/>
        <w:rPr>
          <w:rFonts w:ascii="Times New Roman"/>
          <w:b w:val="0"/>
          <w:color w:val="auto"/>
          <w:sz w:val="30"/>
        </w:rPr>
      </w:pPr>
      <w:r>
        <w:rPr>
          <w:rFonts w:ascii="Times New Roman"/>
          <w:b w:val="0"/>
          <w:color w:val="auto"/>
        </w:rPr>
        <w:br w:type="page"/>
      </w:r>
      <w:bookmarkStart w:id="263" w:name="_Toc136360680"/>
      <w:bookmarkStart w:id="264" w:name="_Toc123051457"/>
      <w:bookmarkStart w:id="265" w:name="_Toc26152"/>
      <w:bookmarkStart w:id="266" w:name="_Toc79392624"/>
      <w:bookmarkStart w:id="267" w:name="_Toc21886"/>
      <w:bookmarkStart w:id="268" w:name="_Toc25072220"/>
      <w:bookmarkStart w:id="269" w:name="_Toc3244"/>
      <w:bookmarkStart w:id="270" w:name="_Toc2255"/>
      <w:bookmarkStart w:id="271" w:name="_Toc48649710"/>
      <w:bookmarkStart w:id="272" w:name="_Toc139991741"/>
      <w:bookmarkStart w:id="273" w:name="_Toc19520"/>
      <w:bookmarkStart w:id="274" w:name="_Toc14725"/>
      <w:bookmarkStart w:id="275" w:name="_Toc98560357"/>
      <w:bookmarkStart w:id="276" w:name="_Toc141703891"/>
      <w:bookmarkStart w:id="277" w:name="_Toc16789"/>
      <w:bookmarkStart w:id="278" w:name="_Toc22674"/>
      <w:bookmarkStart w:id="279" w:name="_Toc26084"/>
      <w:bookmarkStart w:id="280" w:name="_Toc123112239"/>
      <w:bookmarkStart w:id="281" w:name="_Toc26383"/>
      <w:bookmarkStart w:id="282" w:name="_Toc123102458"/>
      <w:r>
        <w:rPr>
          <w:rFonts w:ascii="Times New Roman" w:hint="eastAsia"/>
          <w:b w:val="0"/>
          <w:color w:val="auto"/>
          <w:sz w:val="30"/>
        </w:rPr>
        <w:lastRenderedPageBreak/>
        <w:t>第十一部分</w:t>
      </w:r>
      <w:r>
        <w:rPr>
          <w:rFonts w:ascii="Times New Roman" w:hint="eastAsia"/>
          <w:b w:val="0"/>
          <w:color w:val="auto"/>
          <w:sz w:val="30"/>
        </w:rPr>
        <w:t xml:space="preserve"> </w:t>
      </w:r>
      <w:r>
        <w:rPr>
          <w:rFonts w:ascii="Times New Roman"/>
          <w:b w:val="0"/>
          <w:color w:val="auto"/>
          <w:sz w:val="30"/>
        </w:rPr>
        <w:t xml:space="preserve"> </w:t>
      </w:r>
      <w:r>
        <w:rPr>
          <w:rFonts w:ascii="Times New Roman" w:hint="eastAsia"/>
          <w:b w:val="0"/>
          <w:color w:val="auto"/>
          <w:sz w:val="30"/>
        </w:rPr>
        <w:t>基金份额的登记</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2B85FC74" w14:textId="77777777" w:rsidR="007C736D" w:rsidRDefault="007C736D">
      <w:pPr>
        <w:spacing w:line="360" w:lineRule="auto"/>
        <w:rPr>
          <w:bCs/>
          <w:sz w:val="24"/>
        </w:rPr>
      </w:pPr>
    </w:p>
    <w:p w14:paraId="60C81EF1" w14:textId="77777777" w:rsidR="007C736D" w:rsidRDefault="00662CFB">
      <w:pPr>
        <w:spacing w:line="360" w:lineRule="auto"/>
        <w:ind w:firstLine="480"/>
        <w:rPr>
          <w:bCs/>
          <w:sz w:val="24"/>
        </w:rPr>
      </w:pPr>
      <w:r>
        <w:rPr>
          <w:bCs/>
          <w:sz w:val="24"/>
        </w:rPr>
        <w:t>一、基金份额的登记业务</w:t>
      </w:r>
    </w:p>
    <w:p w14:paraId="4E0DE737" w14:textId="77777777" w:rsidR="007C736D" w:rsidRDefault="00662CFB">
      <w:pPr>
        <w:spacing w:line="360" w:lineRule="auto"/>
        <w:ind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20FC3960" w14:textId="77777777" w:rsidR="007C736D" w:rsidRDefault="00662CFB">
      <w:pPr>
        <w:spacing w:line="360" w:lineRule="auto"/>
        <w:ind w:firstLine="480"/>
        <w:rPr>
          <w:bCs/>
          <w:sz w:val="24"/>
        </w:rPr>
      </w:pPr>
      <w:r>
        <w:rPr>
          <w:bCs/>
          <w:sz w:val="24"/>
        </w:rPr>
        <w:t>二、基金登记业务办理机构</w:t>
      </w:r>
    </w:p>
    <w:p w14:paraId="0098098A" w14:textId="77777777" w:rsidR="007C736D" w:rsidRDefault="00662CFB">
      <w:pPr>
        <w:spacing w:line="360" w:lineRule="auto"/>
        <w:ind w:firstLine="480"/>
        <w:rPr>
          <w:bCs/>
          <w:sz w:val="24"/>
        </w:rPr>
      </w:pPr>
      <w:r>
        <w:rPr>
          <w:bCs/>
          <w:sz w:val="24"/>
        </w:rPr>
        <w:t>本基金的登记业务由基金</w:t>
      </w:r>
      <w:r>
        <w:rPr>
          <w:bCs/>
          <w:sz w:val="24"/>
        </w:rPr>
        <w:t>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2CF33413" w14:textId="77777777" w:rsidR="007C736D" w:rsidRDefault="00662CFB">
      <w:pPr>
        <w:spacing w:line="360" w:lineRule="auto"/>
        <w:ind w:firstLine="480"/>
        <w:rPr>
          <w:bCs/>
          <w:sz w:val="24"/>
        </w:rPr>
      </w:pPr>
      <w:r>
        <w:rPr>
          <w:bCs/>
          <w:sz w:val="24"/>
        </w:rPr>
        <w:t>三、基金登记机构的权利</w:t>
      </w:r>
      <w:bookmarkStart w:id="283" w:name="_Hlt88820748"/>
      <w:bookmarkEnd w:id="283"/>
    </w:p>
    <w:p w14:paraId="46AE6414" w14:textId="77777777" w:rsidR="007C736D" w:rsidRDefault="00662CFB">
      <w:pPr>
        <w:spacing w:line="360" w:lineRule="auto"/>
        <w:ind w:firstLine="480"/>
        <w:rPr>
          <w:bCs/>
          <w:sz w:val="24"/>
        </w:rPr>
      </w:pPr>
      <w:r>
        <w:rPr>
          <w:bCs/>
          <w:sz w:val="24"/>
        </w:rPr>
        <w:t>基金登记机构享有以下权利：</w:t>
      </w:r>
    </w:p>
    <w:p w14:paraId="0C5C2FD4" w14:textId="77777777" w:rsidR="007C736D" w:rsidRDefault="00662CFB">
      <w:pPr>
        <w:spacing w:line="360" w:lineRule="auto"/>
        <w:ind w:firstLine="480"/>
        <w:rPr>
          <w:bCs/>
          <w:sz w:val="24"/>
        </w:rPr>
      </w:pPr>
      <w:r>
        <w:rPr>
          <w:bCs/>
          <w:sz w:val="24"/>
        </w:rPr>
        <w:t>1</w:t>
      </w:r>
      <w:r>
        <w:rPr>
          <w:bCs/>
          <w:sz w:val="24"/>
        </w:rPr>
        <w:t>、取得登记费；</w:t>
      </w:r>
    </w:p>
    <w:p w14:paraId="61AAA808" w14:textId="77777777" w:rsidR="007C736D" w:rsidRDefault="00662CFB">
      <w:pPr>
        <w:spacing w:line="360" w:lineRule="auto"/>
        <w:ind w:firstLine="480"/>
        <w:rPr>
          <w:bCs/>
          <w:sz w:val="24"/>
        </w:rPr>
      </w:pPr>
      <w:r>
        <w:rPr>
          <w:bCs/>
          <w:sz w:val="24"/>
        </w:rPr>
        <w:t>2</w:t>
      </w:r>
      <w:r>
        <w:rPr>
          <w:bCs/>
          <w:sz w:val="24"/>
        </w:rPr>
        <w:t>、建立和管理投资者基金账户；</w:t>
      </w:r>
    </w:p>
    <w:p w14:paraId="53D0A688" w14:textId="77777777" w:rsidR="007C736D" w:rsidRDefault="00662CFB">
      <w:pPr>
        <w:spacing w:line="360" w:lineRule="auto"/>
        <w:ind w:firstLine="480"/>
        <w:rPr>
          <w:bCs/>
          <w:sz w:val="24"/>
        </w:rPr>
      </w:pPr>
      <w:r>
        <w:rPr>
          <w:bCs/>
          <w:sz w:val="24"/>
        </w:rPr>
        <w:t>3</w:t>
      </w:r>
      <w:r>
        <w:rPr>
          <w:bCs/>
          <w:sz w:val="24"/>
        </w:rPr>
        <w:t>、保管基金份额持有人开户资料、交易资料、基金份额持有人名册等；</w:t>
      </w:r>
    </w:p>
    <w:p w14:paraId="6AA26A0B" w14:textId="77777777" w:rsidR="007C736D" w:rsidRDefault="00662CFB">
      <w:pPr>
        <w:spacing w:line="360" w:lineRule="auto"/>
        <w:ind w:firstLine="480"/>
        <w:rPr>
          <w:bCs/>
          <w:sz w:val="24"/>
        </w:rPr>
      </w:pPr>
      <w:r>
        <w:rPr>
          <w:bCs/>
          <w:sz w:val="24"/>
        </w:rPr>
        <w:t>4</w:t>
      </w:r>
      <w:r>
        <w:rPr>
          <w:bCs/>
          <w:sz w:val="24"/>
        </w:rPr>
        <w:t>、在法律法规允许的范围内，对登记业务的办理时间进</w:t>
      </w:r>
      <w:r>
        <w:rPr>
          <w:bCs/>
          <w:sz w:val="24"/>
        </w:rPr>
        <w:t>行调整，并依照有关规定于开始实施前在规定媒介上公告；</w:t>
      </w:r>
    </w:p>
    <w:p w14:paraId="670263AB" w14:textId="77777777" w:rsidR="007C736D" w:rsidRDefault="00662CFB">
      <w:pPr>
        <w:spacing w:line="360" w:lineRule="auto"/>
        <w:ind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6D9086DE" w14:textId="77777777" w:rsidR="007C736D" w:rsidRDefault="00662CFB">
      <w:pPr>
        <w:spacing w:line="360" w:lineRule="auto"/>
        <w:ind w:firstLine="480"/>
        <w:rPr>
          <w:bCs/>
          <w:sz w:val="24"/>
        </w:rPr>
      </w:pPr>
      <w:r>
        <w:rPr>
          <w:bCs/>
          <w:sz w:val="24"/>
        </w:rPr>
        <w:t>四、基金登记机构的义务</w:t>
      </w:r>
    </w:p>
    <w:p w14:paraId="691AEB45" w14:textId="77777777" w:rsidR="007C736D" w:rsidRDefault="00662CFB">
      <w:pPr>
        <w:spacing w:line="360" w:lineRule="auto"/>
        <w:ind w:firstLine="480"/>
        <w:rPr>
          <w:bCs/>
          <w:sz w:val="24"/>
        </w:rPr>
      </w:pPr>
      <w:r>
        <w:rPr>
          <w:bCs/>
          <w:sz w:val="24"/>
        </w:rPr>
        <w:t>基金登记机构承担以下义务：</w:t>
      </w:r>
    </w:p>
    <w:p w14:paraId="51B4855D" w14:textId="77777777" w:rsidR="007C736D" w:rsidRDefault="00662CFB">
      <w:pPr>
        <w:spacing w:line="360" w:lineRule="auto"/>
        <w:ind w:firstLine="480"/>
        <w:rPr>
          <w:bCs/>
          <w:sz w:val="24"/>
        </w:rPr>
      </w:pPr>
      <w:r>
        <w:rPr>
          <w:bCs/>
          <w:sz w:val="24"/>
        </w:rPr>
        <w:t>1</w:t>
      </w:r>
      <w:r>
        <w:rPr>
          <w:bCs/>
          <w:sz w:val="24"/>
        </w:rPr>
        <w:t>、配备足够的专业人员办理本基金份额的登记业务；</w:t>
      </w:r>
    </w:p>
    <w:p w14:paraId="2262888F" w14:textId="77777777" w:rsidR="007C736D" w:rsidRDefault="00662CFB">
      <w:pPr>
        <w:spacing w:line="360" w:lineRule="auto"/>
        <w:ind w:firstLine="480"/>
        <w:rPr>
          <w:bCs/>
          <w:sz w:val="24"/>
        </w:rPr>
      </w:pPr>
      <w:r>
        <w:rPr>
          <w:bCs/>
          <w:sz w:val="24"/>
        </w:rPr>
        <w:t>2</w:t>
      </w:r>
      <w:r>
        <w:rPr>
          <w:bCs/>
          <w:sz w:val="24"/>
        </w:rPr>
        <w:t>、严格按照法律法规和《基金合同》规定的条件办理本基金份额的登记业务；</w:t>
      </w:r>
    </w:p>
    <w:p w14:paraId="4193DA72" w14:textId="77777777" w:rsidR="007C736D" w:rsidRDefault="00662CFB">
      <w:pPr>
        <w:spacing w:line="360" w:lineRule="auto"/>
        <w:ind w:firstLine="480"/>
        <w:rPr>
          <w:bCs/>
          <w:sz w:val="24"/>
        </w:rPr>
      </w:pPr>
      <w:r>
        <w:rPr>
          <w:bCs/>
          <w:sz w:val="24"/>
        </w:rPr>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妥善保存登记数据，并将基金份额持有人名称、身份信息及基金份额明细等数据备份至中国证监会认定的机构。其保存期限自基金账户销户之日起不得少于</w:t>
      </w:r>
      <w:r>
        <w:rPr>
          <w:rFonts w:hint="eastAsia"/>
          <w:bCs/>
          <w:sz w:val="24"/>
        </w:rPr>
        <w:t>20</w:t>
      </w:r>
      <w:r>
        <w:rPr>
          <w:rFonts w:hint="eastAsia"/>
          <w:bCs/>
          <w:sz w:val="24"/>
        </w:rPr>
        <w:t>年，法律法规另有规定的从其规定</w:t>
      </w:r>
      <w:r>
        <w:rPr>
          <w:bCs/>
          <w:sz w:val="24"/>
        </w:rPr>
        <w:t>；</w:t>
      </w:r>
    </w:p>
    <w:p w14:paraId="13248E4F" w14:textId="77777777" w:rsidR="007C736D" w:rsidRDefault="00662CFB">
      <w:pPr>
        <w:spacing w:line="360" w:lineRule="auto"/>
        <w:ind w:firstLine="480"/>
        <w:rPr>
          <w:bCs/>
          <w:sz w:val="24"/>
        </w:rPr>
      </w:pPr>
      <w:r>
        <w:rPr>
          <w:bCs/>
          <w:sz w:val="24"/>
        </w:rPr>
        <w:lastRenderedPageBreak/>
        <w:t>4</w:t>
      </w:r>
      <w:r>
        <w:rPr>
          <w:bCs/>
          <w:sz w:val="24"/>
        </w:rPr>
        <w:t>、对基金份额持有人的基金账户信息负有保密义</w:t>
      </w:r>
      <w:r>
        <w:rPr>
          <w:bCs/>
          <w:sz w:val="24"/>
        </w:rPr>
        <w:t>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091D5DA4" w14:textId="77777777" w:rsidR="007C736D" w:rsidRDefault="00662CFB">
      <w:pPr>
        <w:spacing w:line="360" w:lineRule="auto"/>
        <w:ind w:firstLine="480"/>
        <w:rPr>
          <w:bCs/>
          <w:sz w:val="24"/>
        </w:rPr>
      </w:pPr>
      <w:r>
        <w:rPr>
          <w:bCs/>
          <w:sz w:val="24"/>
        </w:rPr>
        <w:t>5</w:t>
      </w:r>
      <w:r>
        <w:rPr>
          <w:bCs/>
          <w:sz w:val="24"/>
        </w:rPr>
        <w:t>、按《基金合同》及招募说明书规定为投资者办理非交易过户业务、提供其他必要的服务；</w:t>
      </w:r>
    </w:p>
    <w:p w14:paraId="1077C021" w14:textId="77777777" w:rsidR="007C736D" w:rsidRDefault="00662CFB">
      <w:pPr>
        <w:spacing w:line="360" w:lineRule="auto"/>
        <w:ind w:firstLine="480"/>
        <w:rPr>
          <w:bCs/>
          <w:sz w:val="24"/>
        </w:rPr>
      </w:pPr>
      <w:r>
        <w:rPr>
          <w:bCs/>
          <w:sz w:val="24"/>
        </w:rPr>
        <w:t>6</w:t>
      </w:r>
      <w:r>
        <w:rPr>
          <w:bCs/>
          <w:sz w:val="24"/>
        </w:rPr>
        <w:t>、接受基金管理人的监督；</w:t>
      </w:r>
    </w:p>
    <w:p w14:paraId="331210A7" w14:textId="77777777" w:rsidR="007C736D" w:rsidRDefault="00662CFB">
      <w:pPr>
        <w:spacing w:line="360" w:lineRule="auto"/>
        <w:ind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47833BA9" w14:textId="77777777" w:rsidR="007C736D" w:rsidRDefault="00662CFB">
      <w:pPr>
        <w:pStyle w:val="1110"/>
        <w:spacing w:before="0" w:after="0"/>
        <w:jc w:val="center"/>
        <w:rPr>
          <w:rFonts w:ascii="Times New Roman"/>
          <w:b w:val="0"/>
          <w:color w:val="auto"/>
          <w:sz w:val="30"/>
        </w:rPr>
      </w:pPr>
      <w:r>
        <w:rPr>
          <w:rFonts w:ascii="Times New Roman"/>
          <w:b w:val="0"/>
          <w:color w:val="auto"/>
        </w:rPr>
        <w:br w:type="page"/>
      </w:r>
      <w:bookmarkStart w:id="284" w:name="_Toc801"/>
      <w:bookmarkStart w:id="285" w:name="_Toc3872"/>
      <w:bookmarkStart w:id="286" w:name="_Toc25072221"/>
      <w:bookmarkStart w:id="287" w:name="_Toc11395"/>
      <w:bookmarkStart w:id="288" w:name="_Toc22538"/>
      <w:bookmarkStart w:id="289" w:name="_Toc16437"/>
      <w:bookmarkStart w:id="290" w:name="_Toc11351"/>
      <w:bookmarkStart w:id="291" w:name="_Toc5477"/>
      <w:bookmarkStart w:id="292" w:name="_Toc2981"/>
      <w:bookmarkStart w:id="293" w:name="_Toc21917"/>
      <w:bookmarkStart w:id="294" w:name="_Toc136360681"/>
      <w:bookmarkStart w:id="295" w:name="_Toc578"/>
      <w:r>
        <w:rPr>
          <w:rFonts w:ascii="Times New Roman" w:hint="eastAsia"/>
          <w:b w:val="0"/>
          <w:color w:val="auto"/>
          <w:sz w:val="30"/>
        </w:rPr>
        <w:lastRenderedPageBreak/>
        <w:t>第十二部分</w:t>
      </w:r>
      <w:r>
        <w:rPr>
          <w:rFonts w:ascii="Times New Roman"/>
          <w:b w:val="0"/>
          <w:color w:val="auto"/>
          <w:sz w:val="30"/>
        </w:rPr>
        <w:t xml:space="preserve"> </w:t>
      </w:r>
      <w:r>
        <w:rPr>
          <w:rFonts w:ascii="Times New Roman" w:hint="eastAsia"/>
          <w:b w:val="0"/>
          <w:color w:val="auto"/>
          <w:sz w:val="30"/>
        </w:rPr>
        <w:t xml:space="preserve"> </w:t>
      </w:r>
      <w:r>
        <w:rPr>
          <w:rFonts w:ascii="Times New Roman" w:hint="eastAsia"/>
          <w:b w:val="0"/>
          <w:color w:val="auto"/>
          <w:sz w:val="30"/>
        </w:rPr>
        <w:t>基金的投资</w:t>
      </w:r>
      <w:bookmarkEnd w:id="284"/>
      <w:bookmarkEnd w:id="285"/>
      <w:bookmarkEnd w:id="286"/>
      <w:bookmarkEnd w:id="287"/>
      <w:bookmarkEnd w:id="288"/>
      <w:bookmarkEnd w:id="289"/>
      <w:bookmarkEnd w:id="290"/>
      <w:bookmarkEnd w:id="291"/>
      <w:bookmarkEnd w:id="292"/>
      <w:bookmarkEnd w:id="293"/>
      <w:bookmarkEnd w:id="294"/>
      <w:bookmarkEnd w:id="295"/>
    </w:p>
    <w:p w14:paraId="6F37159D" w14:textId="77777777" w:rsidR="007C736D" w:rsidRDefault="007C736D">
      <w:pPr>
        <w:spacing w:line="360" w:lineRule="auto"/>
        <w:ind w:firstLine="480"/>
        <w:rPr>
          <w:bCs/>
          <w:sz w:val="24"/>
        </w:rPr>
      </w:pPr>
    </w:p>
    <w:p w14:paraId="64017666" w14:textId="77777777" w:rsidR="007C736D" w:rsidRDefault="00662CFB">
      <w:pPr>
        <w:spacing w:line="360" w:lineRule="auto"/>
        <w:ind w:firstLine="480"/>
        <w:rPr>
          <w:bCs/>
          <w:sz w:val="24"/>
        </w:rPr>
      </w:pPr>
      <w:r>
        <w:rPr>
          <w:rFonts w:hint="eastAsia"/>
          <w:bCs/>
          <w:sz w:val="24"/>
        </w:rPr>
        <w:t>一、</w:t>
      </w:r>
      <w:r>
        <w:rPr>
          <w:bCs/>
          <w:sz w:val="24"/>
        </w:rPr>
        <w:t>投资目标</w:t>
      </w:r>
    </w:p>
    <w:p w14:paraId="1C452D46" w14:textId="241ABF12" w:rsidR="007C736D" w:rsidRDefault="00662CFB">
      <w:pPr>
        <w:spacing w:line="360" w:lineRule="auto"/>
        <w:ind w:firstLine="425"/>
        <w:jc w:val="left"/>
        <w:rPr>
          <w:bCs/>
          <w:sz w:val="24"/>
        </w:rPr>
      </w:pPr>
      <w:r>
        <w:rPr>
          <w:rFonts w:hint="eastAsia"/>
          <w:sz w:val="24"/>
        </w:rPr>
        <w:t>本基金主要投资科技主题相关股票资产</w:t>
      </w:r>
      <w:r>
        <w:rPr>
          <w:rFonts w:hint="eastAsia"/>
          <w:sz w:val="24"/>
        </w:rPr>
        <w:t>，在严格控制风险的前提下，力争实现基金资产的长期稳健增值。</w:t>
      </w:r>
    </w:p>
    <w:p w14:paraId="285DC817" w14:textId="77777777" w:rsidR="007C736D" w:rsidRDefault="00662CFB">
      <w:pPr>
        <w:spacing w:line="360" w:lineRule="auto"/>
        <w:ind w:firstLine="425"/>
        <w:jc w:val="left"/>
        <w:rPr>
          <w:bCs/>
          <w:sz w:val="24"/>
        </w:rPr>
      </w:pPr>
      <w:r>
        <w:rPr>
          <w:rFonts w:hint="eastAsia"/>
          <w:bCs/>
          <w:sz w:val="24"/>
        </w:rPr>
        <w:t>二、投资范围</w:t>
      </w:r>
    </w:p>
    <w:p w14:paraId="44CCD5D7" w14:textId="77777777" w:rsidR="007C736D" w:rsidRDefault="00662CFB">
      <w:pPr>
        <w:spacing w:line="360" w:lineRule="auto"/>
        <w:ind w:firstLine="425"/>
        <w:jc w:val="left"/>
        <w:rPr>
          <w:bCs/>
          <w:sz w:val="24"/>
        </w:rPr>
      </w:pPr>
      <w:r>
        <w:rPr>
          <w:rFonts w:hint="eastAsia"/>
          <w:bCs/>
          <w:sz w:val="24"/>
        </w:rPr>
        <w:t>本基金的投资范围包括国内依法发行上市的股票（包括主板</w:t>
      </w:r>
      <w:r>
        <w:rPr>
          <w:bCs/>
          <w:sz w:val="24"/>
        </w:rPr>
        <w:t>、</w:t>
      </w:r>
      <w:r>
        <w:rPr>
          <w:rFonts w:hint="eastAsia"/>
          <w:bCs/>
          <w:sz w:val="24"/>
        </w:rPr>
        <w:t>创业板及其他中国证监会允许基金投资的股票、存托凭证）、港股通标的股票、衍生工具（股指期货、国债期货、股票期权）、债券（包括国债、央行票据、金融债券、企业债券、公司债券、次级债券、可转换债券、分离交易可转换债券、可交换债券、中期票据、短期融资券、超短期融资券、地方政府债券、政府支持机构债券、政府支持债券）、资产支持证券、信用衍生品、债券回购、银行存款（包括协议存款、定期存款及其他银行存款）、同业存单、货币市场工具、现金等，以及法律法规或中国证监会允许基金投</w:t>
      </w:r>
      <w:r>
        <w:rPr>
          <w:rFonts w:hint="eastAsia"/>
          <w:bCs/>
          <w:sz w:val="24"/>
        </w:rPr>
        <w:t>资的其他金融工具，但须符合中国证监会的相关规定。</w:t>
      </w:r>
    </w:p>
    <w:p w14:paraId="531013BF" w14:textId="77777777" w:rsidR="007C736D" w:rsidRDefault="00662CFB">
      <w:pPr>
        <w:spacing w:line="360" w:lineRule="auto"/>
        <w:ind w:firstLine="425"/>
        <w:jc w:val="left"/>
        <w:rPr>
          <w:sz w:val="24"/>
        </w:rPr>
      </w:pPr>
      <w:r>
        <w:rPr>
          <w:rFonts w:hint="eastAsia"/>
          <w:bCs/>
          <w:sz w:val="24"/>
        </w:rPr>
        <w:t>如法律法规或监管机构以后允许基金投资其他品种，基金管理人在履行适当程序后，可以将其纳入投资范围。</w:t>
      </w:r>
    </w:p>
    <w:p w14:paraId="0764A45C" w14:textId="77777777" w:rsidR="007C736D" w:rsidRDefault="00662CFB">
      <w:pPr>
        <w:spacing w:line="360" w:lineRule="auto"/>
        <w:ind w:firstLine="480"/>
        <w:jc w:val="left"/>
        <w:rPr>
          <w:bCs/>
          <w:sz w:val="24"/>
        </w:rPr>
      </w:pPr>
      <w:r>
        <w:rPr>
          <w:rFonts w:hint="eastAsia"/>
          <w:bCs/>
          <w:sz w:val="24"/>
        </w:rPr>
        <w:t>本基金投资组合中股票投资比例为基金资产的</w:t>
      </w:r>
      <w:r>
        <w:rPr>
          <w:rFonts w:hint="eastAsia"/>
          <w:bCs/>
          <w:sz w:val="24"/>
        </w:rPr>
        <w:t>60%-95%</w:t>
      </w:r>
      <w:r>
        <w:rPr>
          <w:rFonts w:hint="eastAsia"/>
          <w:bCs/>
          <w:sz w:val="24"/>
        </w:rPr>
        <w:t>，其中投资于本基金定义的科技主题相关上市公司股票不低于非现金基金资产的</w:t>
      </w:r>
      <w:r>
        <w:rPr>
          <w:rFonts w:hint="eastAsia"/>
          <w:bCs/>
          <w:sz w:val="24"/>
        </w:rPr>
        <w:t>80%</w:t>
      </w:r>
      <w:r>
        <w:rPr>
          <w:rFonts w:hint="eastAsia"/>
          <w:bCs/>
          <w:sz w:val="24"/>
        </w:rPr>
        <w:t>，投资于港股通标的股票占非现金基金资产的比例不低于</w:t>
      </w:r>
      <w:r>
        <w:rPr>
          <w:rFonts w:hint="eastAsia"/>
          <w:bCs/>
          <w:sz w:val="24"/>
        </w:rPr>
        <w:t>80%</w:t>
      </w:r>
      <w:r>
        <w:rPr>
          <w:rFonts w:hint="eastAsia"/>
          <w:bCs/>
          <w:sz w:val="24"/>
        </w:rPr>
        <w:t>。本基金每个交易日日终在扣除股指期货、国债期货和股票期权合约需缴纳的交易保证金后，应当保持不低于基金资产净值</w:t>
      </w:r>
      <w:r>
        <w:rPr>
          <w:rFonts w:hint="eastAsia"/>
          <w:bCs/>
          <w:sz w:val="24"/>
        </w:rPr>
        <w:t>5%</w:t>
      </w:r>
      <w:r>
        <w:rPr>
          <w:rFonts w:hint="eastAsia"/>
          <w:bCs/>
          <w:sz w:val="24"/>
        </w:rPr>
        <w:t>的现金或者到期日在一年以内的政府债券，其中现金不包括结算备付金、存</w:t>
      </w:r>
      <w:r>
        <w:rPr>
          <w:rFonts w:hint="eastAsia"/>
          <w:bCs/>
          <w:sz w:val="24"/>
        </w:rPr>
        <w:t>出保证金及应收申购款等。</w:t>
      </w:r>
    </w:p>
    <w:p w14:paraId="1C608A99" w14:textId="77777777" w:rsidR="007C736D" w:rsidRDefault="00662CFB">
      <w:pPr>
        <w:spacing w:line="360" w:lineRule="auto"/>
        <w:ind w:firstLine="480"/>
        <w:jc w:val="left"/>
        <w:rPr>
          <w:bCs/>
          <w:sz w:val="24"/>
        </w:rPr>
      </w:pPr>
      <w:r>
        <w:rPr>
          <w:rFonts w:hint="eastAsia"/>
          <w:bCs/>
          <w:sz w:val="24"/>
        </w:rPr>
        <w:t>如法律法规或中国证监会变更投资品种的投资比例限制，基金管理人在履行适当程序后，可以调整上述投资品种的投资比例。</w:t>
      </w:r>
    </w:p>
    <w:p w14:paraId="13E2080A" w14:textId="77777777" w:rsidR="007C736D" w:rsidRDefault="00662CFB">
      <w:pPr>
        <w:spacing w:line="360" w:lineRule="auto"/>
        <w:ind w:firstLine="480"/>
        <w:jc w:val="left"/>
        <w:rPr>
          <w:bCs/>
          <w:sz w:val="24"/>
        </w:rPr>
      </w:pPr>
      <w:r>
        <w:rPr>
          <w:bCs/>
          <w:sz w:val="24"/>
        </w:rPr>
        <w:t>三、投资策略</w:t>
      </w:r>
    </w:p>
    <w:p w14:paraId="2B801B2D" w14:textId="77777777" w:rsidR="007C736D" w:rsidRDefault="00662CFB">
      <w:pPr>
        <w:spacing w:line="360" w:lineRule="auto"/>
        <w:ind w:firstLine="425"/>
        <w:jc w:val="left"/>
        <w:rPr>
          <w:bCs/>
          <w:sz w:val="24"/>
        </w:rPr>
      </w:pPr>
      <w:r>
        <w:rPr>
          <w:rFonts w:hint="eastAsia"/>
          <w:bCs/>
          <w:sz w:val="24"/>
        </w:rPr>
        <w:t>（一）资产配置策略</w:t>
      </w:r>
    </w:p>
    <w:p w14:paraId="511882C9" w14:textId="77777777" w:rsidR="007C736D" w:rsidRDefault="00662CFB">
      <w:pPr>
        <w:spacing w:line="360" w:lineRule="auto"/>
        <w:ind w:firstLine="425"/>
        <w:jc w:val="left"/>
        <w:rPr>
          <w:bCs/>
          <w:sz w:val="24"/>
        </w:rPr>
      </w:pPr>
      <w:r>
        <w:rPr>
          <w:rFonts w:hint="eastAsia"/>
          <w:bCs/>
          <w:sz w:val="24"/>
        </w:rPr>
        <w:t>本基金通过定量、定性相结合的方法综合分析宏观经济、财政及货币政策、市场情绪、行业周期、资金供需情况以及资本市场的发展趋势，在评估未来一</w:t>
      </w:r>
      <w:r>
        <w:rPr>
          <w:rFonts w:hint="eastAsia"/>
          <w:bCs/>
          <w:sz w:val="24"/>
        </w:rPr>
        <w:lastRenderedPageBreak/>
        <w:t>段时间各类资产的预期风险收益率、相关性的基础上，合理制定和调整股票、债券等各类资产的比例。本基金将持续追踪</w:t>
      </w:r>
      <w:r>
        <w:rPr>
          <w:rFonts w:hint="eastAsia"/>
          <w:bCs/>
          <w:sz w:val="24"/>
        </w:rPr>
        <w:t>A</w:t>
      </w:r>
      <w:r>
        <w:rPr>
          <w:rFonts w:hint="eastAsia"/>
          <w:bCs/>
          <w:sz w:val="24"/>
        </w:rPr>
        <w:t>股市场和港股市场的相对估值和市场情况，适时调整组合中港股通标的股票的投资比例。</w:t>
      </w:r>
    </w:p>
    <w:p w14:paraId="13647D63" w14:textId="77777777" w:rsidR="007C736D" w:rsidRDefault="00662CFB">
      <w:pPr>
        <w:spacing w:line="360" w:lineRule="auto"/>
        <w:ind w:firstLine="425"/>
        <w:jc w:val="left"/>
        <w:rPr>
          <w:bCs/>
          <w:sz w:val="24"/>
        </w:rPr>
      </w:pPr>
      <w:r>
        <w:rPr>
          <w:rFonts w:hint="eastAsia"/>
          <w:bCs/>
          <w:sz w:val="24"/>
        </w:rPr>
        <w:t>（二）股票（含存托</w:t>
      </w:r>
      <w:r>
        <w:rPr>
          <w:rFonts w:hint="eastAsia"/>
          <w:bCs/>
          <w:sz w:val="24"/>
        </w:rPr>
        <w:t>凭证）投资策略</w:t>
      </w:r>
    </w:p>
    <w:p w14:paraId="10A2937F" w14:textId="77777777" w:rsidR="007C736D" w:rsidRDefault="00662CFB">
      <w:pPr>
        <w:spacing w:line="360" w:lineRule="auto"/>
        <w:ind w:firstLine="425"/>
        <w:jc w:val="left"/>
        <w:rPr>
          <w:bCs/>
          <w:sz w:val="24"/>
        </w:rPr>
      </w:pPr>
      <w:r>
        <w:rPr>
          <w:rFonts w:hint="eastAsia"/>
          <w:bCs/>
          <w:sz w:val="24"/>
        </w:rPr>
        <w:t>本基金将深度挖掘科技主题股票的投资机会，综合采用定量分析和定性分析相结合的研究方法挖掘优质公司，构建股票投资组合。</w:t>
      </w:r>
    </w:p>
    <w:p w14:paraId="6DA4FF82" w14:textId="77777777" w:rsidR="007C736D" w:rsidRDefault="00662CFB">
      <w:pPr>
        <w:spacing w:line="360" w:lineRule="auto"/>
        <w:ind w:firstLine="425"/>
        <w:jc w:val="left"/>
        <w:rPr>
          <w:bCs/>
          <w:sz w:val="24"/>
        </w:rPr>
      </w:pPr>
      <w:r>
        <w:rPr>
          <w:rFonts w:hint="eastAsia"/>
          <w:bCs/>
          <w:sz w:val="24"/>
        </w:rPr>
        <w:t>1</w:t>
      </w:r>
      <w:r>
        <w:rPr>
          <w:rFonts w:hint="eastAsia"/>
          <w:bCs/>
          <w:sz w:val="24"/>
        </w:rPr>
        <w:t>、科技主题的界定</w:t>
      </w:r>
    </w:p>
    <w:p w14:paraId="5F9EB5F0" w14:textId="77777777" w:rsidR="007C736D" w:rsidRDefault="00662CFB">
      <w:pPr>
        <w:spacing w:line="360" w:lineRule="auto"/>
        <w:ind w:firstLine="425"/>
        <w:jc w:val="left"/>
        <w:rPr>
          <w:bCs/>
          <w:sz w:val="24"/>
        </w:rPr>
      </w:pPr>
      <w:r>
        <w:rPr>
          <w:rFonts w:hint="eastAsia"/>
          <w:bCs/>
          <w:sz w:val="24"/>
        </w:rPr>
        <w:t>《中华人民共和国国民经济和社会发展第十四个五年规划和</w:t>
      </w:r>
      <w:r>
        <w:rPr>
          <w:rFonts w:hint="eastAsia"/>
          <w:bCs/>
          <w:sz w:val="24"/>
        </w:rPr>
        <w:t xml:space="preserve"> 2035 </w:t>
      </w:r>
      <w:r>
        <w:rPr>
          <w:rFonts w:hint="eastAsia"/>
          <w:bCs/>
          <w:sz w:val="24"/>
        </w:rPr>
        <w:t>年远景目标纲要》提出要发展壮大战略性新兴产业，加快关键核心技术创新应用，增强要素保障能力，培育壮大产业发展新动能。参考国家统计局发布的《战略性新兴产业分类》，本基金界定的科技主题相关公司主要涉及以下产业：</w:t>
      </w:r>
    </w:p>
    <w:p w14:paraId="1F10857F" w14:textId="77777777" w:rsidR="007C736D" w:rsidRDefault="00662CFB">
      <w:pPr>
        <w:spacing w:line="360" w:lineRule="auto"/>
        <w:ind w:firstLine="425"/>
        <w:jc w:val="left"/>
        <w:rPr>
          <w:bCs/>
          <w:sz w:val="24"/>
        </w:rPr>
      </w:pPr>
      <w:r>
        <w:rPr>
          <w:rFonts w:hint="eastAsia"/>
          <w:bCs/>
          <w:sz w:val="24"/>
        </w:rPr>
        <w:t>（</w:t>
      </w:r>
      <w:r>
        <w:rPr>
          <w:rFonts w:hint="eastAsia"/>
          <w:bCs/>
          <w:sz w:val="24"/>
        </w:rPr>
        <w:t>1</w:t>
      </w:r>
      <w:r>
        <w:rPr>
          <w:rFonts w:hint="eastAsia"/>
          <w:bCs/>
          <w:sz w:val="24"/>
        </w:rPr>
        <w:t>）新一代信息技术领域，主要包括半导体和集成电路、电子信息、下一代信息网络、人工智能、大</w:t>
      </w:r>
      <w:r>
        <w:rPr>
          <w:rFonts w:hint="eastAsia"/>
          <w:bCs/>
          <w:sz w:val="24"/>
        </w:rPr>
        <w:t>数据、云计算、软件、互联网、物联网和智能硬件及相关技术服务等；</w:t>
      </w:r>
    </w:p>
    <w:p w14:paraId="6A4DDE65" w14:textId="77777777" w:rsidR="007C736D" w:rsidRDefault="00662CFB">
      <w:pPr>
        <w:spacing w:line="360" w:lineRule="auto"/>
        <w:ind w:firstLine="425"/>
        <w:jc w:val="left"/>
        <w:rPr>
          <w:bCs/>
          <w:sz w:val="24"/>
        </w:rPr>
      </w:pPr>
      <w:r>
        <w:rPr>
          <w:rFonts w:hint="eastAsia"/>
          <w:bCs/>
          <w:sz w:val="24"/>
        </w:rPr>
        <w:t>（</w:t>
      </w:r>
      <w:r>
        <w:rPr>
          <w:rFonts w:hint="eastAsia"/>
          <w:bCs/>
          <w:sz w:val="24"/>
        </w:rPr>
        <w:t>2</w:t>
      </w:r>
      <w:r>
        <w:rPr>
          <w:rFonts w:hint="eastAsia"/>
          <w:bCs/>
          <w:sz w:val="24"/>
        </w:rPr>
        <w:t>）高端装备领域，主要包括智能制造、航空航天、先进轨道交通、海洋工程装备及相关技术服务等；</w:t>
      </w:r>
    </w:p>
    <w:p w14:paraId="50792C30" w14:textId="77777777" w:rsidR="007C736D" w:rsidRDefault="00662CFB">
      <w:pPr>
        <w:spacing w:line="360" w:lineRule="auto"/>
        <w:ind w:firstLine="425"/>
        <w:jc w:val="left"/>
        <w:rPr>
          <w:bCs/>
          <w:sz w:val="24"/>
        </w:rPr>
      </w:pPr>
      <w:r>
        <w:rPr>
          <w:rFonts w:hint="eastAsia"/>
          <w:bCs/>
          <w:sz w:val="24"/>
        </w:rPr>
        <w:t>（</w:t>
      </w:r>
      <w:r>
        <w:rPr>
          <w:rFonts w:hint="eastAsia"/>
          <w:bCs/>
          <w:sz w:val="24"/>
        </w:rPr>
        <w:t>3</w:t>
      </w:r>
      <w:r>
        <w:rPr>
          <w:rFonts w:hint="eastAsia"/>
          <w:bCs/>
          <w:sz w:val="24"/>
        </w:rPr>
        <w:t>）新材料领域，主要包括先进钢铁材料、先进有色金属材料、先进石化化工新材料、先进无机非金属材料、高性能复合材料、前沿新材料及相关技术服务等；</w:t>
      </w:r>
    </w:p>
    <w:p w14:paraId="4FDD2988" w14:textId="77777777" w:rsidR="007C736D" w:rsidRDefault="00662CFB">
      <w:pPr>
        <w:spacing w:line="360" w:lineRule="auto"/>
        <w:ind w:firstLine="425"/>
        <w:jc w:val="left"/>
        <w:rPr>
          <w:bCs/>
          <w:sz w:val="24"/>
        </w:rPr>
      </w:pPr>
      <w:r>
        <w:rPr>
          <w:rFonts w:hint="eastAsia"/>
          <w:bCs/>
          <w:sz w:val="24"/>
        </w:rPr>
        <w:t>（</w:t>
      </w:r>
      <w:r>
        <w:rPr>
          <w:rFonts w:hint="eastAsia"/>
          <w:bCs/>
          <w:sz w:val="24"/>
        </w:rPr>
        <w:t>4</w:t>
      </w:r>
      <w:r>
        <w:rPr>
          <w:rFonts w:hint="eastAsia"/>
          <w:bCs/>
          <w:sz w:val="24"/>
        </w:rPr>
        <w:t>）新能源领域，主要包括先进核电、大型风电、高效光电光热、高效储能及相关技术服务等；</w:t>
      </w:r>
    </w:p>
    <w:p w14:paraId="16FED0DC" w14:textId="77777777" w:rsidR="007C736D" w:rsidRDefault="00662CFB">
      <w:pPr>
        <w:spacing w:line="360" w:lineRule="auto"/>
        <w:ind w:firstLine="425"/>
        <w:jc w:val="left"/>
        <w:rPr>
          <w:bCs/>
          <w:sz w:val="24"/>
        </w:rPr>
      </w:pPr>
      <w:r>
        <w:rPr>
          <w:rFonts w:hint="eastAsia"/>
          <w:bCs/>
          <w:sz w:val="24"/>
        </w:rPr>
        <w:t>（</w:t>
      </w:r>
      <w:r>
        <w:rPr>
          <w:rFonts w:hint="eastAsia"/>
          <w:bCs/>
          <w:sz w:val="24"/>
        </w:rPr>
        <w:t>5</w:t>
      </w:r>
      <w:r>
        <w:rPr>
          <w:rFonts w:hint="eastAsia"/>
          <w:bCs/>
          <w:sz w:val="24"/>
        </w:rPr>
        <w:t>）节能环保领域，主要包括高效节能产品及设备、先进环保技术装备、先进环保产品、资源循环利用、新能源汽车整车、新能源汽车关</w:t>
      </w:r>
      <w:r>
        <w:rPr>
          <w:rFonts w:hint="eastAsia"/>
          <w:bCs/>
          <w:sz w:val="24"/>
        </w:rPr>
        <w:t>键零部件、动力电池及相关技术服务等；</w:t>
      </w:r>
    </w:p>
    <w:p w14:paraId="606D3CF2" w14:textId="77777777" w:rsidR="007C736D" w:rsidRDefault="00662CFB">
      <w:pPr>
        <w:spacing w:line="360" w:lineRule="auto"/>
        <w:ind w:firstLine="425"/>
        <w:jc w:val="left"/>
        <w:rPr>
          <w:bCs/>
          <w:sz w:val="24"/>
        </w:rPr>
      </w:pPr>
      <w:r>
        <w:rPr>
          <w:rFonts w:hint="eastAsia"/>
          <w:bCs/>
          <w:sz w:val="24"/>
        </w:rPr>
        <w:t>（</w:t>
      </w:r>
      <w:r>
        <w:rPr>
          <w:rFonts w:hint="eastAsia"/>
          <w:bCs/>
          <w:sz w:val="24"/>
        </w:rPr>
        <w:t>6</w:t>
      </w:r>
      <w:r>
        <w:rPr>
          <w:rFonts w:hint="eastAsia"/>
          <w:bCs/>
          <w:sz w:val="24"/>
        </w:rPr>
        <w:t>）生物医药领域，主要包括生物制品、高端化学药、高端医疗设备与器械及相关技术服务等；</w:t>
      </w:r>
    </w:p>
    <w:p w14:paraId="3F412D6F" w14:textId="77777777" w:rsidR="007C736D" w:rsidRDefault="00662CFB">
      <w:pPr>
        <w:spacing w:line="360" w:lineRule="auto"/>
        <w:ind w:firstLine="425"/>
        <w:jc w:val="left"/>
        <w:rPr>
          <w:bCs/>
          <w:sz w:val="24"/>
        </w:rPr>
      </w:pPr>
      <w:r>
        <w:rPr>
          <w:rFonts w:hint="eastAsia"/>
          <w:bCs/>
          <w:sz w:val="24"/>
        </w:rPr>
        <w:t>（</w:t>
      </w:r>
      <w:r>
        <w:rPr>
          <w:rFonts w:hint="eastAsia"/>
          <w:bCs/>
          <w:sz w:val="24"/>
        </w:rPr>
        <w:t>7</w:t>
      </w:r>
      <w:r>
        <w:rPr>
          <w:rFonts w:hint="eastAsia"/>
          <w:bCs/>
          <w:sz w:val="24"/>
        </w:rPr>
        <w:t>）数字创意领域，主要包括数字创意技术设备制造、数字文化创意活动、设计服务产业及相关技术服务等。</w:t>
      </w:r>
    </w:p>
    <w:p w14:paraId="00A6E9D1" w14:textId="77777777" w:rsidR="007C736D" w:rsidRDefault="00662CFB">
      <w:pPr>
        <w:spacing w:line="360" w:lineRule="auto"/>
        <w:ind w:firstLine="425"/>
        <w:jc w:val="left"/>
        <w:rPr>
          <w:bCs/>
          <w:sz w:val="24"/>
        </w:rPr>
      </w:pPr>
      <w:r>
        <w:rPr>
          <w:rFonts w:hint="eastAsia"/>
          <w:bCs/>
          <w:sz w:val="24"/>
        </w:rPr>
        <w:t>科技主题相关公司的研发支出金额占营业收入比例或研发支出金额处于所</w:t>
      </w:r>
      <w:r>
        <w:rPr>
          <w:rFonts w:hint="eastAsia"/>
          <w:bCs/>
          <w:sz w:val="24"/>
        </w:rPr>
        <w:lastRenderedPageBreak/>
        <w:t>属行业前三分之一。</w:t>
      </w:r>
    </w:p>
    <w:p w14:paraId="411479CC" w14:textId="77777777" w:rsidR="007C736D" w:rsidRDefault="00662CFB">
      <w:pPr>
        <w:spacing w:line="360" w:lineRule="auto"/>
        <w:ind w:firstLine="425"/>
        <w:jc w:val="left"/>
        <w:rPr>
          <w:bCs/>
          <w:sz w:val="24"/>
        </w:rPr>
      </w:pPr>
      <w:r>
        <w:rPr>
          <w:rFonts w:hint="eastAsia"/>
          <w:bCs/>
          <w:sz w:val="24"/>
        </w:rPr>
        <w:t>未来若国家统计局发布的《战略性新兴产业分类》发生变化或其他权威文件发布导致主题的界定范围发生变动，届时基金管理人在履行适当程序后，可以对科技主题相关领域及公司的界定进行动态更新并在更新的招募说明书中公告。</w:t>
      </w:r>
    </w:p>
    <w:p w14:paraId="5C1BD891" w14:textId="77777777" w:rsidR="007C736D" w:rsidRDefault="00662CFB">
      <w:pPr>
        <w:spacing w:line="360" w:lineRule="auto"/>
        <w:ind w:firstLine="425"/>
        <w:jc w:val="left"/>
        <w:rPr>
          <w:bCs/>
          <w:sz w:val="24"/>
        </w:rPr>
      </w:pPr>
      <w:r>
        <w:rPr>
          <w:rFonts w:hint="eastAsia"/>
          <w:bCs/>
          <w:sz w:val="24"/>
        </w:rPr>
        <w:t>随着经济社会的发展进步、科学技术的创新变革及相关政策的更新迭代，科技主题相关领域及公司范畴可能发生变化，届时基金管理人在履行适当程序后，可以对科技主题相关领域及公司的界定进行动态更新并在更新的招募说明书中公告。</w:t>
      </w:r>
    </w:p>
    <w:p w14:paraId="5E673C37" w14:textId="77777777" w:rsidR="007C736D" w:rsidRDefault="00662CFB">
      <w:pPr>
        <w:spacing w:line="360" w:lineRule="auto"/>
        <w:ind w:firstLine="425"/>
        <w:jc w:val="left"/>
        <w:rPr>
          <w:bCs/>
          <w:sz w:val="24"/>
        </w:rPr>
      </w:pPr>
      <w:r>
        <w:rPr>
          <w:rFonts w:hint="eastAsia"/>
          <w:bCs/>
          <w:sz w:val="24"/>
        </w:rPr>
        <w:t>2</w:t>
      </w:r>
      <w:r>
        <w:rPr>
          <w:rFonts w:hint="eastAsia"/>
          <w:bCs/>
          <w:sz w:val="24"/>
        </w:rPr>
        <w:t>、行业配置策略</w:t>
      </w:r>
    </w:p>
    <w:p w14:paraId="315830F7" w14:textId="77777777" w:rsidR="007C736D" w:rsidRDefault="00662CFB">
      <w:pPr>
        <w:spacing w:line="360" w:lineRule="auto"/>
        <w:ind w:firstLine="425"/>
        <w:jc w:val="left"/>
        <w:rPr>
          <w:bCs/>
          <w:sz w:val="24"/>
        </w:rPr>
      </w:pPr>
      <w:r>
        <w:rPr>
          <w:rFonts w:hint="eastAsia"/>
          <w:bCs/>
          <w:sz w:val="24"/>
        </w:rPr>
        <w:t>本基金将综合考虑宏观经济、政策导向、市场需求、行业竞争格局、科技水平发展等因</w:t>
      </w:r>
      <w:r>
        <w:rPr>
          <w:rFonts w:hint="eastAsia"/>
          <w:bCs/>
          <w:sz w:val="24"/>
        </w:rPr>
        <w:t>素，对股票资产在科技主题各细分子行业间进行合理配置。</w:t>
      </w:r>
    </w:p>
    <w:p w14:paraId="4509501C" w14:textId="77777777" w:rsidR="007C736D" w:rsidRDefault="00662CFB">
      <w:pPr>
        <w:spacing w:line="360" w:lineRule="auto"/>
        <w:ind w:firstLine="425"/>
        <w:jc w:val="left"/>
        <w:rPr>
          <w:bCs/>
          <w:sz w:val="24"/>
        </w:rPr>
      </w:pPr>
      <w:r>
        <w:rPr>
          <w:rFonts w:hint="eastAsia"/>
          <w:bCs/>
          <w:sz w:val="24"/>
        </w:rPr>
        <w:t>3</w:t>
      </w:r>
      <w:r>
        <w:rPr>
          <w:rFonts w:hint="eastAsia"/>
          <w:bCs/>
          <w:sz w:val="24"/>
        </w:rPr>
        <w:t>、个股投资策略</w:t>
      </w:r>
    </w:p>
    <w:p w14:paraId="3456A7E5" w14:textId="77777777" w:rsidR="007C736D" w:rsidRDefault="00662CFB">
      <w:pPr>
        <w:spacing w:line="360" w:lineRule="auto"/>
        <w:ind w:firstLine="425"/>
        <w:jc w:val="left"/>
        <w:rPr>
          <w:bCs/>
          <w:sz w:val="24"/>
        </w:rPr>
      </w:pPr>
      <w:r>
        <w:rPr>
          <w:rFonts w:hint="eastAsia"/>
          <w:bCs/>
          <w:sz w:val="24"/>
        </w:rPr>
        <w:t>本基金秉承公司的投资理念，主要投资于优选行业中的绩优股票。具体操作上，主要采取“自下而上”的选股策略，通过定性分析和定量分析相结合的方法挖掘出优质上市公司，构建股票投资组合。</w:t>
      </w:r>
    </w:p>
    <w:p w14:paraId="5382EA7C" w14:textId="77777777" w:rsidR="007C736D" w:rsidRDefault="00662CFB">
      <w:pPr>
        <w:spacing w:line="360" w:lineRule="auto"/>
        <w:ind w:firstLine="480"/>
        <w:jc w:val="left"/>
        <w:rPr>
          <w:bCs/>
          <w:sz w:val="24"/>
        </w:rPr>
      </w:pPr>
      <w:r>
        <w:rPr>
          <w:rFonts w:hint="eastAsia"/>
          <w:bCs/>
          <w:sz w:val="24"/>
        </w:rPr>
        <w:t>定量分析方面，本基金主要从成长性、研发能力、估值水平等维度对备选股票池中标的公司进行综合评价，并从财务分析与估值分析两个方面对上市公司的投资价值进行综合评价，精选其中具有较高成长性和投资价值的上市公司构建股票组合。定性分析方面，本基金重点考察标的公司技术优势、资源</w:t>
      </w:r>
      <w:r>
        <w:rPr>
          <w:rFonts w:hint="eastAsia"/>
          <w:bCs/>
          <w:sz w:val="24"/>
        </w:rPr>
        <w:t>优势、市场空间、商业模式、行业地位、所处行业前景、财务管理和治理结构等方面的能力。</w:t>
      </w:r>
    </w:p>
    <w:p w14:paraId="1D4FC148" w14:textId="77777777" w:rsidR="007C736D" w:rsidRDefault="00662CFB">
      <w:pPr>
        <w:spacing w:line="360" w:lineRule="auto"/>
        <w:ind w:firstLine="480"/>
        <w:jc w:val="left"/>
        <w:rPr>
          <w:bCs/>
          <w:sz w:val="24"/>
        </w:rPr>
      </w:pPr>
      <w:r>
        <w:rPr>
          <w:bCs/>
          <w:sz w:val="24"/>
        </w:rPr>
        <w:t>4</w:t>
      </w:r>
      <w:r>
        <w:rPr>
          <w:rFonts w:hint="eastAsia"/>
          <w:bCs/>
          <w:sz w:val="24"/>
        </w:rPr>
        <w:t>、港股通标的股票投资策略</w:t>
      </w:r>
    </w:p>
    <w:p w14:paraId="37248320" w14:textId="77777777" w:rsidR="007C736D" w:rsidRDefault="00662CFB">
      <w:pPr>
        <w:spacing w:line="360" w:lineRule="auto"/>
        <w:ind w:firstLine="480"/>
        <w:jc w:val="left"/>
        <w:rPr>
          <w:bCs/>
          <w:sz w:val="24"/>
        </w:rPr>
      </w:pPr>
      <w:r>
        <w:rPr>
          <w:rFonts w:hint="eastAsia"/>
          <w:bCs/>
          <w:sz w:val="24"/>
        </w:rPr>
        <w:t>本基金通过内地与香港股票市场交易互联互通机制投资于香港股票市场，通过对行业分布、交易制度、市场流动性、投资者结构、市场波动性、涨跌停限制、估值与盈利回报等方面选择有估值优势与投资价值的标的股票。</w:t>
      </w:r>
    </w:p>
    <w:p w14:paraId="6B3D4A0C" w14:textId="77777777" w:rsidR="007C736D" w:rsidRDefault="00662CFB">
      <w:pPr>
        <w:spacing w:line="360" w:lineRule="auto"/>
        <w:ind w:firstLine="480"/>
        <w:jc w:val="left"/>
        <w:rPr>
          <w:bCs/>
          <w:sz w:val="24"/>
        </w:rPr>
      </w:pPr>
      <w:r>
        <w:rPr>
          <w:bCs/>
          <w:sz w:val="24"/>
        </w:rPr>
        <w:t>5</w:t>
      </w:r>
      <w:r>
        <w:rPr>
          <w:rFonts w:hint="eastAsia"/>
          <w:bCs/>
          <w:sz w:val="24"/>
        </w:rPr>
        <w:t>、存托凭证的投资策略</w:t>
      </w:r>
    </w:p>
    <w:p w14:paraId="5F23A208" w14:textId="77777777" w:rsidR="007C736D" w:rsidRDefault="00662CFB">
      <w:pPr>
        <w:spacing w:line="360" w:lineRule="auto"/>
        <w:ind w:firstLine="480"/>
        <w:jc w:val="left"/>
        <w:rPr>
          <w:bCs/>
          <w:sz w:val="24"/>
        </w:rPr>
      </w:pPr>
      <w:r>
        <w:rPr>
          <w:rFonts w:hint="eastAsia"/>
          <w:bCs/>
          <w:sz w:val="24"/>
        </w:rPr>
        <w:t>本基金将根据法律法规和监管机构的要求，根据本基金的投资目标和股票投资策略，制定存托凭证投资策略，关注发行人有关信息披露情况，关注发行</w:t>
      </w:r>
      <w:r>
        <w:rPr>
          <w:rFonts w:hint="eastAsia"/>
          <w:bCs/>
          <w:sz w:val="24"/>
        </w:rPr>
        <w:lastRenderedPageBreak/>
        <w:t>人基本面情况、市场估值等因素，通过定性分析和定量</w:t>
      </w:r>
      <w:r>
        <w:rPr>
          <w:rFonts w:hint="eastAsia"/>
          <w:bCs/>
          <w:sz w:val="24"/>
        </w:rPr>
        <w:t>分析相结合的办法，参与存托凭证的投资，谨慎决定存托凭证的权重配置和标的选择。</w:t>
      </w:r>
    </w:p>
    <w:p w14:paraId="6F6E8CF6" w14:textId="77777777" w:rsidR="007C736D" w:rsidRDefault="00662CFB">
      <w:pPr>
        <w:spacing w:line="360" w:lineRule="auto"/>
        <w:ind w:firstLine="480"/>
        <w:jc w:val="left"/>
        <w:rPr>
          <w:bCs/>
          <w:sz w:val="24"/>
        </w:rPr>
      </w:pPr>
      <w:r>
        <w:rPr>
          <w:rFonts w:hint="eastAsia"/>
          <w:bCs/>
          <w:sz w:val="24"/>
        </w:rPr>
        <w:t>（三）债券投资策略</w:t>
      </w:r>
    </w:p>
    <w:p w14:paraId="37987713" w14:textId="77777777" w:rsidR="007C736D" w:rsidRDefault="00662CFB">
      <w:pPr>
        <w:spacing w:line="360" w:lineRule="auto"/>
        <w:ind w:firstLine="480"/>
        <w:jc w:val="left"/>
        <w:rPr>
          <w:bCs/>
          <w:sz w:val="24"/>
        </w:rPr>
      </w:pPr>
      <w:r>
        <w:rPr>
          <w:bCs/>
          <w:sz w:val="24"/>
        </w:rPr>
        <w:t>本基金密切关注国内外宏观经济走势与我国财政、货币政策动向，预测未来利率变动走势，自上而下地确定投资组合久期，并结合信用分析等自下而上的个券选择方法构建债券投资组合，配置能够提供稳定收益的债券资产。</w:t>
      </w:r>
    </w:p>
    <w:p w14:paraId="4D4C89C8" w14:textId="77777777" w:rsidR="007C736D" w:rsidRDefault="00662CFB">
      <w:pPr>
        <w:spacing w:line="360" w:lineRule="auto"/>
        <w:ind w:firstLine="480"/>
        <w:jc w:val="left"/>
        <w:rPr>
          <w:bCs/>
          <w:sz w:val="24"/>
        </w:rPr>
      </w:pPr>
      <w:r>
        <w:rPr>
          <w:rFonts w:hint="eastAsia"/>
          <w:bCs/>
          <w:sz w:val="24"/>
        </w:rPr>
        <w:t>（四）股指期货投资策略</w:t>
      </w:r>
    </w:p>
    <w:p w14:paraId="58B2C37B" w14:textId="77777777" w:rsidR="007C736D" w:rsidRDefault="00662CFB">
      <w:pPr>
        <w:spacing w:line="360" w:lineRule="auto"/>
        <w:ind w:firstLine="480"/>
        <w:jc w:val="left"/>
        <w:rPr>
          <w:bCs/>
          <w:sz w:val="24"/>
        </w:rPr>
      </w:pPr>
      <w:r>
        <w:rPr>
          <w:rFonts w:hint="eastAsia"/>
          <w:bCs/>
          <w:sz w:val="24"/>
        </w:rPr>
        <w:t>本基金根据风险管理的原则，以套期保值为目的，参与股指期货交易。</w:t>
      </w:r>
    </w:p>
    <w:p w14:paraId="0562DF7A" w14:textId="77777777" w:rsidR="007C736D" w:rsidRDefault="00662CFB">
      <w:pPr>
        <w:spacing w:line="360" w:lineRule="auto"/>
        <w:ind w:firstLine="480"/>
        <w:jc w:val="left"/>
        <w:rPr>
          <w:bCs/>
          <w:sz w:val="24"/>
        </w:rPr>
      </w:pPr>
      <w:r>
        <w:rPr>
          <w:rFonts w:hint="eastAsia"/>
          <w:bCs/>
          <w:sz w:val="24"/>
        </w:rPr>
        <w:t>本基金参与股指期货投资时机和数量的决策建立在对证券市场总体行情的判断和组合风险收益分析的基础上。基金管理人将根据宏观经济因素、政</w:t>
      </w:r>
      <w:r>
        <w:rPr>
          <w:rFonts w:hint="eastAsia"/>
          <w:bCs/>
          <w:sz w:val="24"/>
        </w:rPr>
        <w:t>策及法规因素和资本市场因素，结合定性和定量方法，确定投资时机。基金管理人将结合股票投资的总体规模，以及中国证监会的相关限定和要求，确定参与股指期货交易的投资比例。</w:t>
      </w:r>
    </w:p>
    <w:p w14:paraId="5A93556A" w14:textId="77777777" w:rsidR="007C736D" w:rsidRDefault="00662CFB">
      <w:pPr>
        <w:spacing w:line="360" w:lineRule="auto"/>
        <w:ind w:firstLine="480"/>
        <w:jc w:val="left"/>
        <w:rPr>
          <w:bCs/>
          <w:sz w:val="24"/>
        </w:rPr>
      </w:pPr>
      <w:r>
        <w:rPr>
          <w:rFonts w:hint="eastAsia"/>
          <w:bCs/>
          <w:sz w:val="24"/>
        </w:rPr>
        <w:t>（五）国债期货投资策略</w:t>
      </w:r>
    </w:p>
    <w:p w14:paraId="10E92C95" w14:textId="77777777" w:rsidR="007C736D" w:rsidRDefault="00662CFB">
      <w:pPr>
        <w:spacing w:line="360" w:lineRule="auto"/>
        <w:ind w:firstLine="480"/>
        <w:jc w:val="left"/>
        <w:rPr>
          <w:bCs/>
          <w:sz w:val="24"/>
        </w:rPr>
      </w:pPr>
      <w:r>
        <w:rPr>
          <w:bCs/>
          <w:sz w:val="24"/>
        </w:rPr>
        <w:t>国债期货作为利率衍生品的一种，有助于管理债券组合的久期、流动性和风险水平。基金管理人将按照相关法律法规的规定，</w:t>
      </w:r>
      <w:r>
        <w:rPr>
          <w:rFonts w:hint="eastAsia"/>
          <w:bCs/>
          <w:sz w:val="24"/>
        </w:rPr>
        <w:t>根据风险管理的原则，以套期保值为目的，</w:t>
      </w:r>
      <w:r>
        <w:rPr>
          <w:bCs/>
          <w:sz w:val="24"/>
        </w:rPr>
        <w:t>结合对宏观经济形势和政策趋势的判断、对债券市场进行定性和定量分析。构建量化分析体系，对国债期货和现货基差、国债期货的流动性、波动水平、套期保值的有效性等指标进行跟踪监控。国债期</w:t>
      </w:r>
      <w:r>
        <w:rPr>
          <w:bCs/>
          <w:sz w:val="24"/>
        </w:rPr>
        <w:t>货相关投资遵循法律法规及中国证监会的规定。</w:t>
      </w:r>
    </w:p>
    <w:p w14:paraId="4EF9D228" w14:textId="77777777" w:rsidR="007C736D" w:rsidRDefault="00662CFB">
      <w:pPr>
        <w:spacing w:line="360" w:lineRule="auto"/>
        <w:ind w:firstLine="480"/>
        <w:jc w:val="left"/>
        <w:rPr>
          <w:bCs/>
          <w:sz w:val="24"/>
        </w:rPr>
      </w:pPr>
      <w:r>
        <w:rPr>
          <w:rFonts w:hint="eastAsia"/>
          <w:bCs/>
          <w:sz w:val="24"/>
        </w:rPr>
        <w:t>（六）股票期权投资策略</w:t>
      </w:r>
    </w:p>
    <w:p w14:paraId="177D747C" w14:textId="77777777" w:rsidR="007C736D" w:rsidRDefault="00662CFB">
      <w:pPr>
        <w:spacing w:line="360" w:lineRule="auto"/>
        <w:ind w:firstLine="480"/>
        <w:jc w:val="left"/>
        <w:rPr>
          <w:bCs/>
          <w:sz w:val="24"/>
        </w:rPr>
      </w:pPr>
      <w:r>
        <w:rPr>
          <w:rFonts w:hint="eastAsia"/>
          <w:bCs/>
          <w:sz w:val="24"/>
        </w:rPr>
        <w:t>本基金将按照风险管理的原则，以套期保值为主要目的参与股票期权交易。本基金将结合投资目标、比例限制、风险收益特征以及法律法规的相关限定和要求，确定参与股票期权交易的投资时机和投资比例。</w:t>
      </w:r>
    </w:p>
    <w:p w14:paraId="3DD119D3" w14:textId="77777777" w:rsidR="007C736D" w:rsidRDefault="00662CFB">
      <w:pPr>
        <w:spacing w:line="360" w:lineRule="auto"/>
        <w:ind w:firstLine="480"/>
        <w:jc w:val="left"/>
        <w:rPr>
          <w:bCs/>
          <w:sz w:val="24"/>
        </w:rPr>
      </w:pPr>
      <w:r>
        <w:rPr>
          <w:rFonts w:hint="eastAsia"/>
          <w:bCs/>
          <w:sz w:val="24"/>
        </w:rPr>
        <w:t>若相关法律法规发生变化时，基金管理人股票期权投资管理从其最新规定，以符合上述法律法规和监管要求的变化。未来如法律法规或监管机构允许基金投资其他期权品种，本基金将在履行适当程序后，纳入投资范围并制定相应投资策略。</w:t>
      </w:r>
    </w:p>
    <w:p w14:paraId="7FC335A8" w14:textId="77777777" w:rsidR="007C736D" w:rsidRDefault="00662CFB">
      <w:pPr>
        <w:spacing w:line="360" w:lineRule="auto"/>
        <w:ind w:firstLine="480"/>
        <w:jc w:val="left"/>
        <w:rPr>
          <w:bCs/>
          <w:sz w:val="24"/>
        </w:rPr>
      </w:pPr>
      <w:r>
        <w:rPr>
          <w:rFonts w:hint="eastAsia"/>
          <w:bCs/>
          <w:sz w:val="24"/>
        </w:rPr>
        <w:t>（七）资产支持证券投资策略</w:t>
      </w:r>
    </w:p>
    <w:p w14:paraId="50D45686" w14:textId="77777777" w:rsidR="007C736D" w:rsidRDefault="00662CFB">
      <w:pPr>
        <w:spacing w:line="360" w:lineRule="auto"/>
        <w:ind w:firstLine="480"/>
        <w:jc w:val="left"/>
        <w:rPr>
          <w:bCs/>
          <w:sz w:val="24"/>
        </w:rPr>
      </w:pPr>
      <w:r>
        <w:rPr>
          <w:rFonts w:hint="eastAsia"/>
          <w:bCs/>
          <w:sz w:val="24"/>
        </w:rPr>
        <w:lastRenderedPageBreak/>
        <w:t>本基金管理人通过考量宏观经济形势、提前偿还率、违约率、资产池结构以及资产池资产所在行业景气情况等因素，预判资产池未来现金流变动。研究标的证券发行条款，预测提前偿还率变化对标的证券平均久期及收益率曲线的影响，同时密切关注流动性变化对标的证券收益率的影响，在严格控制信用风险暴露程度的前提下，通过信用研究和流动性管理，选择风险调整后收益较高的品种进行投资。</w:t>
      </w:r>
    </w:p>
    <w:p w14:paraId="75044B88" w14:textId="77777777" w:rsidR="007C736D" w:rsidRDefault="00662CFB">
      <w:pPr>
        <w:spacing w:line="360" w:lineRule="auto"/>
        <w:ind w:firstLine="480"/>
        <w:jc w:val="left"/>
        <w:rPr>
          <w:bCs/>
          <w:sz w:val="24"/>
        </w:rPr>
      </w:pPr>
      <w:r>
        <w:rPr>
          <w:rFonts w:hint="eastAsia"/>
          <w:bCs/>
          <w:sz w:val="24"/>
        </w:rPr>
        <w:t>（八）信用衍生品投资策略</w:t>
      </w:r>
    </w:p>
    <w:p w14:paraId="6106A0FF" w14:textId="77777777" w:rsidR="007C736D" w:rsidRDefault="00662CFB">
      <w:pPr>
        <w:spacing w:line="360" w:lineRule="auto"/>
        <w:ind w:firstLine="480"/>
        <w:jc w:val="left"/>
        <w:rPr>
          <w:bCs/>
          <w:sz w:val="24"/>
        </w:rPr>
      </w:pPr>
      <w:r>
        <w:rPr>
          <w:rFonts w:hint="eastAsia"/>
          <w:bCs/>
          <w:sz w:val="24"/>
        </w:rPr>
        <w:t>本基金将适当投资信用衍生品及其挂钩债券，以在控制信用风险的前提下提高组合投资收益。在进行信用衍生品投资时，本基金按照风险管理的原则，以风险对冲为目的，参与信用衍生品交易，转移信用衍生品所挂钩债券的信用风险，改善组合的风险收益特性。收益率方面，将通过分析信用衍生品和挂钩债券的合成收益率，选择具备一定信用利差的信用衍生品及其挂钩债券进行投资，并确定信用衍生品及其挂钩债券的投资金额与期限。本基金仅投资于符合证券交易所或银行间市场相关业务规则的信用衍生工具。</w:t>
      </w:r>
    </w:p>
    <w:p w14:paraId="2C474CDB" w14:textId="77777777" w:rsidR="007C736D" w:rsidRDefault="00662CFB">
      <w:pPr>
        <w:spacing w:line="360" w:lineRule="auto"/>
        <w:ind w:firstLine="480"/>
        <w:jc w:val="left"/>
        <w:rPr>
          <w:bCs/>
        </w:rPr>
      </w:pPr>
      <w:r>
        <w:rPr>
          <w:rFonts w:hint="eastAsia"/>
          <w:bCs/>
          <w:sz w:val="24"/>
        </w:rPr>
        <w:t>（九）可转换债券及可交换债券投资策略</w:t>
      </w:r>
    </w:p>
    <w:p w14:paraId="2FD3CDB6" w14:textId="77777777" w:rsidR="007C736D" w:rsidRDefault="00662CFB">
      <w:pPr>
        <w:spacing w:line="360" w:lineRule="auto"/>
        <w:ind w:firstLine="480"/>
        <w:rPr>
          <w:bCs/>
          <w:sz w:val="24"/>
        </w:rPr>
      </w:pPr>
      <w:r>
        <w:rPr>
          <w:rFonts w:hint="eastAsia"/>
          <w:bCs/>
          <w:sz w:val="24"/>
        </w:rPr>
        <w:t>可转换债券和可交换</w:t>
      </w:r>
      <w:r>
        <w:rPr>
          <w:rFonts w:hint="eastAsia"/>
          <w:bCs/>
          <w:sz w:val="24"/>
        </w:rPr>
        <w:t>债券兼具权益类证券与固定收益类证券的特性，本基金将选择正股基本面优良，具有较高上涨潜力的可转换债券和可交换债券进行投资，并综合研究此类含权债券的纯债价值和转股价值，纯债价值方面综合考虑票面利率、久期、信用资质、发行主体财务状况及公司治理等因素；转股价值方面仔细开展对正股的价值分析，包括估值水平、盈利能力及未来盈利预期。此外还需结合对含权条款的研究，综合判断内含期权的价值。</w:t>
      </w:r>
    </w:p>
    <w:p w14:paraId="332BBFFA" w14:textId="77777777" w:rsidR="007C736D" w:rsidRDefault="00662CFB">
      <w:pPr>
        <w:spacing w:line="360" w:lineRule="auto"/>
        <w:ind w:firstLine="480"/>
        <w:jc w:val="left"/>
        <w:rPr>
          <w:bCs/>
          <w:sz w:val="24"/>
        </w:rPr>
      </w:pPr>
      <w:r>
        <w:rPr>
          <w:rFonts w:hint="eastAsia"/>
          <w:bCs/>
          <w:sz w:val="24"/>
        </w:rPr>
        <w:t>今后，随着证券市场的发展、金融工具的丰富和交易方式的创新等，基金还将积极寻求其他投资机会，如法律法规或监管机构以后允许基金投资其他品种，</w:t>
      </w:r>
      <w:r>
        <w:rPr>
          <w:rFonts w:hint="eastAsia"/>
          <w:bCs/>
          <w:sz w:val="24"/>
        </w:rPr>
        <w:t>本基金将在履行适当程序后，将其纳入投资范围以丰富组合投资策略，并更新招募说明书及公告。</w:t>
      </w:r>
    </w:p>
    <w:p w14:paraId="1A79DB84" w14:textId="77777777" w:rsidR="007C736D" w:rsidRDefault="00662CFB">
      <w:pPr>
        <w:spacing w:line="360" w:lineRule="auto"/>
        <w:ind w:firstLine="480"/>
        <w:jc w:val="left"/>
        <w:rPr>
          <w:bCs/>
          <w:sz w:val="24"/>
        </w:rPr>
      </w:pPr>
      <w:r>
        <w:rPr>
          <w:rFonts w:hint="eastAsia"/>
          <w:bCs/>
          <w:sz w:val="24"/>
        </w:rPr>
        <w:t>四、投资限制</w:t>
      </w:r>
    </w:p>
    <w:p w14:paraId="22E6A835" w14:textId="77777777" w:rsidR="007C736D" w:rsidRDefault="00662CFB">
      <w:pPr>
        <w:spacing w:line="360" w:lineRule="auto"/>
        <w:ind w:firstLine="480"/>
        <w:jc w:val="left"/>
        <w:rPr>
          <w:bCs/>
          <w:sz w:val="24"/>
        </w:rPr>
      </w:pPr>
      <w:r>
        <w:rPr>
          <w:bCs/>
          <w:sz w:val="24"/>
        </w:rPr>
        <w:t>1</w:t>
      </w:r>
      <w:r>
        <w:rPr>
          <w:bCs/>
          <w:sz w:val="24"/>
        </w:rPr>
        <w:t>、组合限制</w:t>
      </w:r>
    </w:p>
    <w:p w14:paraId="66B22258" w14:textId="77777777" w:rsidR="007C736D" w:rsidRDefault="00662CFB">
      <w:pPr>
        <w:spacing w:line="360" w:lineRule="auto"/>
        <w:ind w:firstLine="480"/>
        <w:jc w:val="left"/>
        <w:rPr>
          <w:bCs/>
          <w:sz w:val="24"/>
        </w:rPr>
      </w:pPr>
      <w:r>
        <w:rPr>
          <w:rFonts w:hint="eastAsia"/>
          <w:bCs/>
          <w:sz w:val="24"/>
        </w:rPr>
        <w:t>基金的投资组合应遵循以下限制：</w:t>
      </w:r>
    </w:p>
    <w:p w14:paraId="203A155A" w14:textId="77777777" w:rsidR="007C736D" w:rsidRDefault="00662CFB">
      <w:pPr>
        <w:spacing w:line="360" w:lineRule="auto"/>
        <w:ind w:firstLine="480"/>
        <w:jc w:val="left"/>
        <w:rPr>
          <w:bCs/>
          <w:sz w:val="24"/>
        </w:rPr>
      </w:pPr>
      <w:r>
        <w:rPr>
          <w:rFonts w:hint="eastAsia"/>
          <w:bCs/>
          <w:sz w:val="24"/>
        </w:rPr>
        <w:t>（</w:t>
      </w:r>
      <w:r>
        <w:rPr>
          <w:bCs/>
          <w:sz w:val="24"/>
        </w:rPr>
        <w:t>1</w:t>
      </w:r>
      <w:r>
        <w:rPr>
          <w:rFonts w:hint="eastAsia"/>
          <w:bCs/>
          <w:sz w:val="24"/>
        </w:rPr>
        <w:t>）本基金投资组合中股票投资比例为基金资产的</w:t>
      </w:r>
      <w:r>
        <w:rPr>
          <w:rFonts w:hint="eastAsia"/>
          <w:bCs/>
          <w:sz w:val="24"/>
        </w:rPr>
        <w:t>60%-95%</w:t>
      </w:r>
      <w:r>
        <w:rPr>
          <w:rFonts w:hint="eastAsia"/>
          <w:bCs/>
          <w:sz w:val="24"/>
        </w:rPr>
        <w:t>，其中投资</w:t>
      </w:r>
      <w:r>
        <w:rPr>
          <w:rFonts w:hint="eastAsia"/>
          <w:bCs/>
          <w:sz w:val="24"/>
        </w:rPr>
        <w:lastRenderedPageBreak/>
        <w:t>于本基金定义的科技主题相关上市公司股票不低于非现金基金资产的</w:t>
      </w:r>
      <w:r>
        <w:rPr>
          <w:rFonts w:hint="eastAsia"/>
          <w:bCs/>
          <w:sz w:val="24"/>
        </w:rPr>
        <w:t>80%</w:t>
      </w:r>
      <w:r>
        <w:rPr>
          <w:rFonts w:hint="eastAsia"/>
          <w:bCs/>
          <w:sz w:val="24"/>
        </w:rPr>
        <w:t>，投资于港股通标的股票占非现金基金资产的比例不低于</w:t>
      </w:r>
      <w:r>
        <w:rPr>
          <w:rFonts w:hint="eastAsia"/>
          <w:bCs/>
          <w:sz w:val="24"/>
        </w:rPr>
        <w:t>80%</w:t>
      </w:r>
      <w:r>
        <w:rPr>
          <w:rFonts w:hint="eastAsia"/>
          <w:bCs/>
          <w:sz w:val="24"/>
        </w:rPr>
        <w:t>；</w:t>
      </w:r>
    </w:p>
    <w:p w14:paraId="46F97383" w14:textId="77777777" w:rsidR="007C736D" w:rsidRDefault="00662CFB">
      <w:pPr>
        <w:spacing w:line="360" w:lineRule="auto"/>
        <w:ind w:firstLine="480"/>
        <w:jc w:val="left"/>
        <w:rPr>
          <w:bCs/>
          <w:sz w:val="24"/>
        </w:rPr>
      </w:pPr>
      <w:r>
        <w:rPr>
          <w:rFonts w:hint="eastAsia"/>
          <w:bCs/>
          <w:sz w:val="24"/>
        </w:rPr>
        <w:t>（</w:t>
      </w:r>
      <w:r>
        <w:rPr>
          <w:bCs/>
          <w:sz w:val="24"/>
        </w:rPr>
        <w:t>2</w:t>
      </w:r>
      <w:r>
        <w:rPr>
          <w:rFonts w:hint="eastAsia"/>
          <w:bCs/>
          <w:sz w:val="24"/>
        </w:rPr>
        <w:t>）每个交易日日终在扣除股指期货、国债期货和股票期权合约需缴纳的交易保证金后，基金保留的现金或到期日在一年以内的政府债券的投资比例不低于基金资产净值的</w:t>
      </w:r>
      <w:r>
        <w:rPr>
          <w:rFonts w:hint="eastAsia"/>
          <w:bCs/>
          <w:sz w:val="24"/>
        </w:rPr>
        <w:t>5%</w:t>
      </w:r>
      <w:r>
        <w:rPr>
          <w:rFonts w:hint="eastAsia"/>
          <w:bCs/>
          <w:sz w:val="24"/>
        </w:rPr>
        <w:t>，现金不包括</w:t>
      </w:r>
      <w:r>
        <w:rPr>
          <w:rFonts w:hint="eastAsia"/>
          <w:bCs/>
          <w:sz w:val="24"/>
        </w:rPr>
        <w:t>结算备付金、存出保证金、应收申购款等；</w:t>
      </w:r>
      <w:r>
        <w:rPr>
          <w:bCs/>
          <w:sz w:val="24"/>
        </w:rPr>
        <w:t xml:space="preserve"> </w:t>
      </w:r>
    </w:p>
    <w:p w14:paraId="08C5EA3B" w14:textId="77777777" w:rsidR="007C736D" w:rsidRDefault="00662CFB">
      <w:pPr>
        <w:spacing w:line="360" w:lineRule="auto"/>
        <w:ind w:firstLine="480"/>
        <w:jc w:val="left"/>
        <w:rPr>
          <w:bCs/>
          <w:sz w:val="24"/>
        </w:rPr>
      </w:pPr>
      <w:r>
        <w:rPr>
          <w:rFonts w:hint="eastAsia"/>
          <w:bCs/>
          <w:sz w:val="24"/>
        </w:rPr>
        <w:t>（</w:t>
      </w:r>
      <w:r>
        <w:rPr>
          <w:bCs/>
          <w:sz w:val="24"/>
        </w:rPr>
        <w:t>3</w:t>
      </w:r>
      <w:r>
        <w:rPr>
          <w:rFonts w:hint="eastAsia"/>
          <w:bCs/>
          <w:sz w:val="24"/>
        </w:rPr>
        <w:t>）本基金持有一家公司发行的证券（同一家公司在内地和香港同时上市的</w:t>
      </w:r>
      <w:r>
        <w:rPr>
          <w:bCs/>
          <w:sz w:val="24"/>
        </w:rPr>
        <w:t xml:space="preserve"> A+H </w:t>
      </w:r>
      <w:r>
        <w:rPr>
          <w:rFonts w:hint="eastAsia"/>
          <w:bCs/>
          <w:sz w:val="24"/>
        </w:rPr>
        <w:t>股合计计算），其市值不超过基金资产净值的</w:t>
      </w:r>
      <w:r>
        <w:rPr>
          <w:bCs/>
          <w:sz w:val="24"/>
        </w:rPr>
        <w:t>10</w:t>
      </w:r>
      <w:r>
        <w:rPr>
          <w:rFonts w:hint="eastAsia"/>
          <w:bCs/>
          <w:sz w:val="24"/>
        </w:rPr>
        <w:t xml:space="preserve">%;   </w:t>
      </w:r>
    </w:p>
    <w:p w14:paraId="716F1466" w14:textId="77777777" w:rsidR="007C736D" w:rsidRDefault="00662CFB">
      <w:pPr>
        <w:spacing w:line="360" w:lineRule="auto"/>
        <w:ind w:firstLine="480"/>
        <w:jc w:val="left"/>
        <w:rPr>
          <w:bCs/>
          <w:sz w:val="24"/>
        </w:rPr>
      </w:pPr>
      <w:r>
        <w:rPr>
          <w:rFonts w:hint="eastAsia"/>
          <w:bCs/>
          <w:sz w:val="24"/>
        </w:rPr>
        <w:t>（</w:t>
      </w:r>
      <w:r>
        <w:rPr>
          <w:bCs/>
          <w:sz w:val="24"/>
        </w:rPr>
        <w:t>4</w:t>
      </w:r>
      <w:r>
        <w:rPr>
          <w:rFonts w:hint="eastAsia"/>
          <w:bCs/>
          <w:sz w:val="24"/>
        </w:rPr>
        <w:t>）本基金管理人管理的全部基金持有一家公司发行的证券（同一家公司在内地和香港同时上市的</w:t>
      </w:r>
      <w:r>
        <w:rPr>
          <w:bCs/>
          <w:sz w:val="24"/>
        </w:rPr>
        <w:t xml:space="preserve"> A+H </w:t>
      </w:r>
      <w:r>
        <w:rPr>
          <w:rFonts w:hint="eastAsia"/>
          <w:bCs/>
          <w:sz w:val="24"/>
        </w:rPr>
        <w:t>股合计计算），不超过该证券的</w:t>
      </w:r>
      <w:r>
        <w:rPr>
          <w:bCs/>
          <w:sz w:val="24"/>
        </w:rPr>
        <w:t>10</w:t>
      </w:r>
      <w:r>
        <w:rPr>
          <w:rFonts w:hint="eastAsia"/>
          <w:bCs/>
          <w:sz w:val="24"/>
        </w:rPr>
        <w:t>%</w:t>
      </w:r>
      <w:r>
        <w:rPr>
          <w:rFonts w:hint="eastAsia"/>
          <w:bCs/>
          <w:sz w:val="24"/>
        </w:rPr>
        <w:t>，完全按照有关指数的构成比例进行证券投资的基金品种可以不受此条款规定的比例限制；</w:t>
      </w:r>
    </w:p>
    <w:p w14:paraId="06708B66" w14:textId="77777777" w:rsidR="007C736D" w:rsidRDefault="00662CFB">
      <w:pPr>
        <w:spacing w:line="360" w:lineRule="auto"/>
        <w:ind w:firstLine="480"/>
        <w:jc w:val="left"/>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bCs/>
          <w:sz w:val="24"/>
        </w:rPr>
        <w:t>10</w:t>
      </w:r>
      <w:r>
        <w:rPr>
          <w:rFonts w:hint="eastAsia"/>
          <w:bCs/>
          <w:sz w:val="24"/>
        </w:rPr>
        <w:t>％；</w:t>
      </w:r>
      <w:r>
        <w:rPr>
          <w:bCs/>
          <w:sz w:val="24"/>
        </w:rPr>
        <w:t xml:space="preserve"> </w:t>
      </w:r>
    </w:p>
    <w:p w14:paraId="754DAFBA" w14:textId="77777777" w:rsidR="007C736D" w:rsidRDefault="00662CFB">
      <w:pPr>
        <w:spacing w:line="360" w:lineRule="auto"/>
        <w:ind w:firstLine="480"/>
        <w:jc w:val="left"/>
        <w:rPr>
          <w:bCs/>
          <w:sz w:val="24"/>
        </w:rPr>
      </w:pPr>
      <w:r>
        <w:rPr>
          <w:rFonts w:hint="eastAsia"/>
          <w:bCs/>
          <w:sz w:val="24"/>
        </w:rPr>
        <w:t>（</w:t>
      </w:r>
      <w:r>
        <w:rPr>
          <w:rFonts w:hint="eastAsia"/>
          <w:bCs/>
          <w:sz w:val="24"/>
        </w:rPr>
        <w:t>6</w:t>
      </w:r>
      <w:r>
        <w:rPr>
          <w:rFonts w:hint="eastAsia"/>
          <w:bCs/>
          <w:sz w:val="24"/>
        </w:rPr>
        <w:t>）本基金持有的全部资产支持</w:t>
      </w:r>
      <w:r>
        <w:rPr>
          <w:rFonts w:hint="eastAsia"/>
          <w:bCs/>
          <w:sz w:val="24"/>
        </w:rPr>
        <w:t>证券，其市值不得超过基金资产净值的</w:t>
      </w:r>
      <w:r>
        <w:rPr>
          <w:bCs/>
          <w:sz w:val="24"/>
        </w:rPr>
        <w:t>20</w:t>
      </w:r>
      <w:r>
        <w:rPr>
          <w:rFonts w:hint="eastAsia"/>
          <w:bCs/>
          <w:sz w:val="24"/>
        </w:rPr>
        <w:t>％；</w:t>
      </w:r>
    </w:p>
    <w:p w14:paraId="51CCB2E6" w14:textId="77777777" w:rsidR="007C736D" w:rsidRDefault="00662CFB">
      <w:pPr>
        <w:spacing w:line="360" w:lineRule="auto"/>
        <w:ind w:firstLine="480"/>
        <w:jc w:val="left"/>
        <w:rPr>
          <w:bCs/>
          <w:sz w:val="24"/>
        </w:rPr>
      </w:pPr>
      <w:r>
        <w:rPr>
          <w:rFonts w:hint="eastAsia"/>
          <w:bCs/>
          <w:sz w:val="24"/>
        </w:rPr>
        <w:t>（</w:t>
      </w:r>
      <w:r>
        <w:rPr>
          <w:rFonts w:hint="eastAsia"/>
          <w:bCs/>
          <w:sz w:val="24"/>
        </w:rPr>
        <w:t>7</w:t>
      </w:r>
      <w:r>
        <w:rPr>
          <w:rFonts w:hint="eastAsia"/>
          <w:bCs/>
          <w:sz w:val="24"/>
        </w:rPr>
        <w:t>）本基金持有的同一</w:t>
      </w:r>
      <w:r>
        <w:rPr>
          <w:bCs/>
          <w:sz w:val="24"/>
        </w:rPr>
        <w:t>(</w:t>
      </w:r>
      <w:r>
        <w:rPr>
          <w:rFonts w:hint="eastAsia"/>
          <w:bCs/>
          <w:sz w:val="24"/>
        </w:rPr>
        <w:t>指同一信用级别</w:t>
      </w:r>
      <w:r>
        <w:rPr>
          <w:bCs/>
          <w:sz w:val="24"/>
        </w:rPr>
        <w:t>)</w:t>
      </w:r>
      <w:r>
        <w:rPr>
          <w:rFonts w:hint="eastAsia"/>
          <w:bCs/>
          <w:sz w:val="24"/>
        </w:rPr>
        <w:t>资产支持证券的比例，不得超过该资产支持证券规模的</w:t>
      </w:r>
      <w:r>
        <w:rPr>
          <w:bCs/>
          <w:sz w:val="24"/>
        </w:rPr>
        <w:t>10</w:t>
      </w:r>
      <w:r>
        <w:rPr>
          <w:rFonts w:hint="eastAsia"/>
          <w:bCs/>
          <w:sz w:val="24"/>
        </w:rPr>
        <w:t>％；</w:t>
      </w:r>
    </w:p>
    <w:p w14:paraId="0A7DF275" w14:textId="77777777" w:rsidR="007C736D" w:rsidRDefault="00662CFB">
      <w:pPr>
        <w:spacing w:line="360" w:lineRule="auto"/>
        <w:ind w:firstLine="480"/>
        <w:jc w:val="left"/>
        <w:rPr>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bCs/>
          <w:sz w:val="24"/>
        </w:rPr>
        <w:t>10</w:t>
      </w:r>
      <w:r>
        <w:rPr>
          <w:rFonts w:hint="eastAsia"/>
          <w:bCs/>
          <w:sz w:val="24"/>
        </w:rPr>
        <w:t>％；</w:t>
      </w:r>
    </w:p>
    <w:p w14:paraId="247711E0" w14:textId="77777777" w:rsidR="007C736D" w:rsidRDefault="00662CFB">
      <w:pPr>
        <w:spacing w:line="360" w:lineRule="auto"/>
        <w:ind w:firstLine="480"/>
        <w:jc w:val="left"/>
        <w:rPr>
          <w:bCs/>
          <w:sz w:val="24"/>
        </w:rPr>
      </w:pPr>
      <w:r>
        <w:rPr>
          <w:rFonts w:hint="eastAsia"/>
          <w:bCs/>
          <w:sz w:val="24"/>
        </w:rPr>
        <w:t>（</w:t>
      </w:r>
      <w:r>
        <w:rPr>
          <w:rFonts w:hint="eastAsia"/>
          <w:bCs/>
          <w:sz w:val="24"/>
        </w:rPr>
        <w:t>9</w:t>
      </w:r>
      <w:r>
        <w:rPr>
          <w:rFonts w:hint="eastAsia"/>
          <w:bCs/>
          <w:sz w:val="24"/>
        </w:rPr>
        <w:t>）本基金应投资于信用级别评级为</w:t>
      </w:r>
      <w:r>
        <w:rPr>
          <w:bCs/>
          <w:sz w:val="24"/>
        </w:rPr>
        <w:t xml:space="preserve"> BBB </w:t>
      </w:r>
      <w:r>
        <w:rPr>
          <w:rFonts w:hint="eastAsia"/>
          <w:bCs/>
          <w:sz w:val="24"/>
        </w:rPr>
        <w:t>以上</w:t>
      </w:r>
      <w:r>
        <w:rPr>
          <w:bCs/>
          <w:sz w:val="24"/>
        </w:rPr>
        <w:t>(</w:t>
      </w:r>
      <w:r>
        <w:rPr>
          <w:rFonts w:hint="eastAsia"/>
          <w:bCs/>
          <w:sz w:val="24"/>
        </w:rPr>
        <w:t>含</w:t>
      </w:r>
      <w:r>
        <w:rPr>
          <w:bCs/>
          <w:sz w:val="24"/>
        </w:rPr>
        <w:t xml:space="preserve"> BBB)</w:t>
      </w:r>
      <w:r>
        <w:rPr>
          <w:rFonts w:hint="eastAsia"/>
          <w:bCs/>
          <w:sz w:val="24"/>
        </w:rPr>
        <w:t>的资产支持证券。基金持有资产支持证券期间，如果其信用等级下降、不再符合投资标准，应在评级报告发布之日起</w:t>
      </w:r>
      <w:r>
        <w:rPr>
          <w:bCs/>
          <w:sz w:val="24"/>
        </w:rPr>
        <w:t>3</w:t>
      </w:r>
      <w:r>
        <w:rPr>
          <w:rFonts w:hint="eastAsia"/>
          <w:bCs/>
          <w:sz w:val="24"/>
        </w:rPr>
        <w:t>个月内予以全部卖出；</w:t>
      </w:r>
    </w:p>
    <w:p w14:paraId="248454E8" w14:textId="77777777" w:rsidR="007C736D" w:rsidRDefault="00662CFB">
      <w:pPr>
        <w:spacing w:line="360" w:lineRule="auto"/>
        <w:ind w:firstLine="480"/>
        <w:jc w:val="left"/>
        <w:rPr>
          <w:bCs/>
          <w:sz w:val="24"/>
        </w:rPr>
      </w:pPr>
      <w:r>
        <w:rPr>
          <w:rFonts w:hint="eastAsia"/>
          <w:bCs/>
          <w:sz w:val="24"/>
        </w:rPr>
        <w:t>（</w:t>
      </w:r>
      <w:r>
        <w:rPr>
          <w:rFonts w:hint="eastAsia"/>
          <w:bCs/>
          <w:sz w:val="24"/>
        </w:rPr>
        <w:t>10</w:t>
      </w:r>
      <w:r>
        <w:rPr>
          <w:rFonts w:hint="eastAsia"/>
          <w:bCs/>
          <w:sz w:val="24"/>
        </w:rPr>
        <w:t>）基金财产参与股票发行申购，本基金所申报的金额不超过本基金</w:t>
      </w:r>
      <w:r>
        <w:rPr>
          <w:rFonts w:hint="eastAsia"/>
          <w:bCs/>
          <w:sz w:val="24"/>
        </w:rPr>
        <w:t>的总资产，本基金所申报的股票数量不超过拟发行股票公司本次发行股票的总量；</w:t>
      </w:r>
      <w:r>
        <w:rPr>
          <w:bCs/>
          <w:sz w:val="24"/>
        </w:rPr>
        <w:t xml:space="preserve"> </w:t>
      </w:r>
    </w:p>
    <w:p w14:paraId="21B573C5" w14:textId="77777777" w:rsidR="007C736D" w:rsidRDefault="00662CFB">
      <w:pPr>
        <w:spacing w:line="360" w:lineRule="auto"/>
        <w:ind w:firstLine="480"/>
        <w:jc w:val="left"/>
        <w:rPr>
          <w:bCs/>
          <w:sz w:val="24"/>
        </w:rPr>
      </w:pPr>
      <w:r>
        <w:rPr>
          <w:rFonts w:hint="eastAsia"/>
          <w:bCs/>
          <w:sz w:val="24"/>
        </w:rPr>
        <w:t>（</w:t>
      </w:r>
      <w:r>
        <w:rPr>
          <w:rFonts w:hint="eastAsia"/>
          <w:bCs/>
          <w:sz w:val="24"/>
        </w:rPr>
        <w:t>1</w:t>
      </w:r>
      <w:r>
        <w:rPr>
          <w:bCs/>
          <w:sz w:val="24"/>
        </w:rPr>
        <w:t>1</w:t>
      </w:r>
      <w:r>
        <w:rPr>
          <w:rFonts w:hint="eastAsia"/>
          <w:bCs/>
          <w:sz w:val="24"/>
        </w:rPr>
        <w:t>）基金因未平仓的股票期权合约支付和收取的权利金总额不得超过基金资产净值的</w:t>
      </w:r>
      <w:r>
        <w:rPr>
          <w:bCs/>
          <w:sz w:val="24"/>
        </w:rPr>
        <w:t>10%</w:t>
      </w:r>
      <w:r>
        <w:rPr>
          <w:rFonts w:hint="eastAsia"/>
          <w:bCs/>
          <w:sz w:val="24"/>
        </w:rPr>
        <w:t>；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rPr>
          <w:bCs/>
          <w:sz w:val="24"/>
        </w:rPr>
        <w:t>20%</w:t>
      </w:r>
      <w:r>
        <w:rPr>
          <w:rFonts w:hint="eastAsia"/>
          <w:bCs/>
          <w:sz w:val="24"/>
        </w:rPr>
        <w:t>。其中，合约面值按照行权价乘以合约乘数计算；</w:t>
      </w:r>
    </w:p>
    <w:p w14:paraId="2709FE96" w14:textId="77777777" w:rsidR="007C736D" w:rsidRDefault="00662CFB">
      <w:pPr>
        <w:spacing w:line="360" w:lineRule="auto"/>
        <w:ind w:firstLine="480"/>
        <w:jc w:val="left"/>
        <w:rPr>
          <w:bCs/>
          <w:sz w:val="24"/>
        </w:rPr>
      </w:pPr>
      <w:r>
        <w:rPr>
          <w:rFonts w:hint="eastAsia"/>
          <w:bCs/>
          <w:sz w:val="24"/>
        </w:rPr>
        <w:t>（</w:t>
      </w:r>
      <w:r>
        <w:rPr>
          <w:rFonts w:hint="eastAsia"/>
          <w:bCs/>
          <w:sz w:val="24"/>
        </w:rPr>
        <w:t>1</w:t>
      </w:r>
      <w:r>
        <w:rPr>
          <w:bCs/>
          <w:sz w:val="24"/>
        </w:rPr>
        <w:t>2</w:t>
      </w:r>
      <w:r>
        <w:rPr>
          <w:rFonts w:hint="eastAsia"/>
          <w:bCs/>
          <w:sz w:val="24"/>
        </w:rPr>
        <w:t>）本基金在任何交易日日终，持有的买入股指期货、国债期货合约价</w:t>
      </w:r>
      <w:r>
        <w:rPr>
          <w:rFonts w:hint="eastAsia"/>
          <w:bCs/>
          <w:sz w:val="24"/>
        </w:rPr>
        <w:lastRenderedPageBreak/>
        <w:t>值与有价证券市值之和，不得超过基金资产净值的</w:t>
      </w:r>
      <w:r>
        <w:rPr>
          <w:bCs/>
          <w:sz w:val="24"/>
        </w:rPr>
        <w:t>95%</w:t>
      </w:r>
      <w:r>
        <w:rPr>
          <w:rFonts w:hint="eastAsia"/>
          <w:bCs/>
          <w:sz w:val="24"/>
        </w:rPr>
        <w:t>。其中，有价证券指股票、债券（不含到期日在一年以内的政府债券）、资产支持证券、买入返售金融资产（不含质押式回购）等；</w:t>
      </w:r>
      <w:r>
        <w:rPr>
          <w:bCs/>
          <w:sz w:val="24"/>
        </w:rPr>
        <w:t xml:space="preserve"> </w:t>
      </w:r>
    </w:p>
    <w:p w14:paraId="0B981134" w14:textId="77777777" w:rsidR="007C736D" w:rsidRDefault="00662CFB">
      <w:pPr>
        <w:spacing w:line="360" w:lineRule="auto"/>
        <w:ind w:firstLine="480"/>
        <w:jc w:val="left"/>
        <w:rPr>
          <w:bCs/>
          <w:sz w:val="24"/>
        </w:rPr>
      </w:pPr>
      <w:r>
        <w:rPr>
          <w:rFonts w:hint="eastAsia"/>
          <w:bCs/>
          <w:sz w:val="24"/>
        </w:rPr>
        <w:t>（</w:t>
      </w:r>
      <w:r>
        <w:rPr>
          <w:rFonts w:hint="eastAsia"/>
          <w:bCs/>
          <w:sz w:val="24"/>
        </w:rPr>
        <w:t>1</w:t>
      </w:r>
      <w:r>
        <w:rPr>
          <w:bCs/>
          <w:sz w:val="24"/>
        </w:rPr>
        <w:t>3</w:t>
      </w:r>
      <w:r>
        <w:rPr>
          <w:rFonts w:hint="eastAsia"/>
          <w:bCs/>
          <w:sz w:val="24"/>
        </w:rPr>
        <w:t>）本基金参与股指期货交易，应当符合下列投资限制：</w:t>
      </w:r>
    </w:p>
    <w:p w14:paraId="658F8718" w14:textId="77777777" w:rsidR="007C736D" w:rsidRDefault="00662CFB">
      <w:pPr>
        <w:spacing w:line="360" w:lineRule="auto"/>
        <w:ind w:firstLine="480"/>
        <w:jc w:val="left"/>
        <w:rPr>
          <w:bCs/>
          <w:sz w:val="24"/>
        </w:rPr>
      </w:pPr>
      <w:r>
        <w:rPr>
          <w:bCs/>
          <w:sz w:val="24"/>
        </w:rPr>
        <w:t xml:space="preserve"> 1</w:t>
      </w:r>
      <w:r>
        <w:rPr>
          <w:rFonts w:hint="eastAsia"/>
          <w:bCs/>
          <w:sz w:val="24"/>
        </w:rPr>
        <w:t>）在任何交易日日终，持有的买入股指期货合约价值不得超过基金资产净值的</w:t>
      </w:r>
      <w:r>
        <w:rPr>
          <w:bCs/>
          <w:sz w:val="24"/>
        </w:rPr>
        <w:t>10%</w:t>
      </w:r>
      <w:r>
        <w:rPr>
          <w:rFonts w:hint="eastAsia"/>
          <w:bCs/>
          <w:sz w:val="24"/>
        </w:rPr>
        <w:t>；</w:t>
      </w:r>
      <w:r>
        <w:rPr>
          <w:bCs/>
          <w:sz w:val="24"/>
        </w:rPr>
        <w:t xml:space="preserve"> </w:t>
      </w:r>
    </w:p>
    <w:p w14:paraId="53386FB5" w14:textId="77777777" w:rsidR="007C736D" w:rsidRDefault="00662CFB">
      <w:pPr>
        <w:spacing w:line="360" w:lineRule="auto"/>
        <w:ind w:firstLine="480"/>
        <w:jc w:val="left"/>
        <w:rPr>
          <w:bCs/>
          <w:sz w:val="24"/>
        </w:rPr>
      </w:pPr>
      <w:r>
        <w:rPr>
          <w:bCs/>
          <w:sz w:val="24"/>
        </w:rPr>
        <w:t>2</w:t>
      </w:r>
      <w:r>
        <w:rPr>
          <w:rFonts w:hint="eastAsia"/>
          <w:bCs/>
          <w:sz w:val="24"/>
        </w:rPr>
        <w:t>）本基金在任何交易日日终，持有的卖出股指期货合约价值不得超过基金持有的股票总市值的</w:t>
      </w:r>
      <w:r>
        <w:rPr>
          <w:bCs/>
          <w:sz w:val="24"/>
        </w:rPr>
        <w:t>20%</w:t>
      </w:r>
      <w:r>
        <w:rPr>
          <w:rFonts w:hint="eastAsia"/>
          <w:bCs/>
          <w:sz w:val="24"/>
        </w:rPr>
        <w:t>；</w:t>
      </w:r>
    </w:p>
    <w:p w14:paraId="4B7F54DD" w14:textId="77777777" w:rsidR="007C736D" w:rsidRDefault="00662CFB">
      <w:pPr>
        <w:spacing w:line="360" w:lineRule="auto"/>
        <w:ind w:firstLine="480"/>
        <w:jc w:val="left"/>
        <w:rPr>
          <w:bCs/>
          <w:sz w:val="24"/>
        </w:rPr>
      </w:pPr>
      <w:r>
        <w:rPr>
          <w:bCs/>
          <w:sz w:val="24"/>
        </w:rPr>
        <w:t>3</w:t>
      </w:r>
      <w:r>
        <w:rPr>
          <w:rFonts w:hint="eastAsia"/>
          <w:bCs/>
          <w:sz w:val="24"/>
        </w:rPr>
        <w:t>）本基金所持有的股票市值和买入、卖出股指期货合</w:t>
      </w:r>
      <w:r>
        <w:rPr>
          <w:rFonts w:hint="eastAsia"/>
          <w:bCs/>
          <w:sz w:val="24"/>
        </w:rPr>
        <w:t>约价值，合计（轧差计算）应当符合基金合同关于股票投资比例的有关约定；</w:t>
      </w:r>
      <w:r>
        <w:rPr>
          <w:bCs/>
          <w:sz w:val="24"/>
        </w:rPr>
        <w:t xml:space="preserve"> </w:t>
      </w:r>
    </w:p>
    <w:p w14:paraId="3E8238F7" w14:textId="77777777" w:rsidR="007C736D" w:rsidRDefault="00662CFB">
      <w:pPr>
        <w:spacing w:line="360" w:lineRule="auto"/>
        <w:ind w:firstLine="480"/>
        <w:jc w:val="left"/>
        <w:rPr>
          <w:bCs/>
          <w:sz w:val="24"/>
        </w:rPr>
      </w:pPr>
      <w:r>
        <w:rPr>
          <w:bCs/>
          <w:sz w:val="24"/>
        </w:rPr>
        <w:t>4</w:t>
      </w:r>
      <w:r>
        <w:rPr>
          <w:rFonts w:hint="eastAsia"/>
          <w:bCs/>
          <w:sz w:val="24"/>
        </w:rPr>
        <w:t>）本基金在任何交易日内交易（不包括平仓）的股指期货合约的成交金额不得超过上一交易日基金资产净值的</w:t>
      </w:r>
      <w:r>
        <w:rPr>
          <w:bCs/>
          <w:sz w:val="24"/>
        </w:rPr>
        <w:t>20%</w:t>
      </w:r>
      <w:r>
        <w:rPr>
          <w:rFonts w:hint="eastAsia"/>
          <w:bCs/>
          <w:sz w:val="24"/>
        </w:rPr>
        <w:t>；</w:t>
      </w:r>
      <w:r>
        <w:rPr>
          <w:bCs/>
          <w:sz w:val="24"/>
        </w:rPr>
        <w:t xml:space="preserve"> </w:t>
      </w:r>
    </w:p>
    <w:p w14:paraId="0BA383D0" w14:textId="77777777" w:rsidR="007C736D" w:rsidRDefault="00662CFB">
      <w:pPr>
        <w:spacing w:line="360" w:lineRule="auto"/>
        <w:ind w:firstLine="480"/>
        <w:jc w:val="left"/>
        <w:rPr>
          <w:bCs/>
          <w:sz w:val="24"/>
        </w:rPr>
      </w:pPr>
      <w:r>
        <w:rPr>
          <w:rFonts w:hint="eastAsia"/>
          <w:bCs/>
          <w:sz w:val="24"/>
        </w:rPr>
        <w:t>（</w:t>
      </w:r>
      <w:r>
        <w:rPr>
          <w:bCs/>
          <w:sz w:val="24"/>
        </w:rPr>
        <w:t>14</w:t>
      </w:r>
      <w:r>
        <w:rPr>
          <w:rFonts w:hint="eastAsia"/>
          <w:bCs/>
          <w:sz w:val="24"/>
        </w:rPr>
        <w:t>）本基金参与国债期货交易，应当符合下列投资限制：</w:t>
      </w:r>
      <w:r>
        <w:rPr>
          <w:bCs/>
          <w:sz w:val="24"/>
        </w:rPr>
        <w:t xml:space="preserve"> </w:t>
      </w:r>
    </w:p>
    <w:p w14:paraId="6DC7CF05" w14:textId="77777777" w:rsidR="007C736D" w:rsidRDefault="00662CFB">
      <w:pPr>
        <w:spacing w:line="360" w:lineRule="auto"/>
        <w:ind w:firstLine="480"/>
        <w:jc w:val="left"/>
        <w:rPr>
          <w:bCs/>
          <w:sz w:val="24"/>
        </w:rPr>
      </w:pPr>
      <w:r>
        <w:rPr>
          <w:bCs/>
          <w:sz w:val="24"/>
        </w:rPr>
        <w:t>1</w:t>
      </w:r>
      <w:r>
        <w:rPr>
          <w:rFonts w:hint="eastAsia"/>
          <w:bCs/>
          <w:sz w:val="24"/>
        </w:rPr>
        <w:t>）本基金在任何交易日日终，持有的买入国债期货合约价值，不得超过基金资产净值的</w:t>
      </w:r>
      <w:r>
        <w:rPr>
          <w:bCs/>
          <w:sz w:val="24"/>
        </w:rPr>
        <w:t>15%</w:t>
      </w:r>
      <w:r>
        <w:rPr>
          <w:rFonts w:hint="eastAsia"/>
          <w:bCs/>
          <w:sz w:val="24"/>
        </w:rPr>
        <w:t>；</w:t>
      </w:r>
    </w:p>
    <w:p w14:paraId="34B89857" w14:textId="77777777" w:rsidR="007C736D" w:rsidRDefault="00662CFB">
      <w:pPr>
        <w:spacing w:line="360" w:lineRule="auto"/>
        <w:ind w:firstLine="480"/>
        <w:jc w:val="left"/>
        <w:rPr>
          <w:bCs/>
          <w:sz w:val="24"/>
        </w:rPr>
      </w:pPr>
      <w:r>
        <w:rPr>
          <w:bCs/>
          <w:sz w:val="24"/>
        </w:rPr>
        <w:t>2</w:t>
      </w:r>
      <w:r>
        <w:rPr>
          <w:rFonts w:hint="eastAsia"/>
          <w:bCs/>
          <w:sz w:val="24"/>
        </w:rPr>
        <w:t>）本基金在任何交易日日终，持有的卖出国债期货合约价值不得超过基金持有的债券总市值的</w:t>
      </w:r>
      <w:r>
        <w:rPr>
          <w:bCs/>
          <w:sz w:val="24"/>
        </w:rPr>
        <w:t xml:space="preserve"> 30%</w:t>
      </w:r>
      <w:r>
        <w:rPr>
          <w:rFonts w:hint="eastAsia"/>
          <w:bCs/>
          <w:sz w:val="24"/>
        </w:rPr>
        <w:t>；</w:t>
      </w:r>
    </w:p>
    <w:p w14:paraId="3B36CD15" w14:textId="77777777" w:rsidR="007C736D" w:rsidRDefault="00662CFB">
      <w:pPr>
        <w:spacing w:line="360" w:lineRule="auto"/>
        <w:ind w:firstLine="480"/>
        <w:jc w:val="left"/>
        <w:rPr>
          <w:bCs/>
          <w:sz w:val="24"/>
        </w:rPr>
      </w:pPr>
      <w:r>
        <w:rPr>
          <w:bCs/>
          <w:sz w:val="24"/>
        </w:rPr>
        <w:t>3</w:t>
      </w:r>
      <w:r>
        <w:rPr>
          <w:rFonts w:hint="eastAsia"/>
          <w:bCs/>
          <w:sz w:val="24"/>
        </w:rPr>
        <w:t>）本基金在任何交易日内交易（不包括平仓）的国债期货合约的成交金额不得超过上一交易日基金资产净值的</w:t>
      </w:r>
      <w:r>
        <w:rPr>
          <w:bCs/>
          <w:sz w:val="24"/>
        </w:rPr>
        <w:t>30%</w:t>
      </w:r>
      <w:r>
        <w:rPr>
          <w:rFonts w:hint="eastAsia"/>
          <w:bCs/>
          <w:sz w:val="24"/>
        </w:rPr>
        <w:t>；</w:t>
      </w:r>
      <w:r>
        <w:rPr>
          <w:bCs/>
          <w:sz w:val="24"/>
        </w:rPr>
        <w:t xml:space="preserve"> </w:t>
      </w:r>
    </w:p>
    <w:p w14:paraId="741DD5D8" w14:textId="77777777" w:rsidR="007C736D" w:rsidRDefault="00662CFB">
      <w:pPr>
        <w:spacing w:line="360" w:lineRule="auto"/>
        <w:ind w:firstLine="480"/>
        <w:jc w:val="left"/>
        <w:rPr>
          <w:bCs/>
          <w:sz w:val="24"/>
        </w:rPr>
      </w:pPr>
      <w:r>
        <w:rPr>
          <w:bCs/>
          <w:sz w:val="24"/>
        </w:rPr>
        <w:t>4</w:t>
      </w:r>
      <w:r>
        <w:rPr>
          <w:rFonts w:hint="eastAsia"/>
          <w:bCs/>
          <w:sz w:val="24"/>
        </w:rPr>
        <w:t>）本基金所持有的债券（不含到期日在一年以内的政府债券）市值和买入、卖出国债期货合约价值，合计（轧差计算）应当符合基金合同关于债券投资比例的有关约定；</w:t>
      </w:r>
      <w:r>
        <w:rPr>
          <w:bCs/>
          <w:sz w:val="24"/>
        </w:rPr>
        <w:t xml:space="preserve"> </w:t>
      </w:r>
    </w:p>
    <w:p w14:paraId="7716E3D0" w14:textId="77777777" w:rsidR="007C736D" w:rsidRDefault="00662CFB">
      <w:pPr>
        <w:spacing w:line="360" w:lineRule="auto"/>
        <w:ind w:firstLine="480"/>
        <w:jc w:val="left"/>
        <w:rPr>
          <w:bCs/>
          <w:sz w:val="24"/>
        </w:rPr>
      </w:pPr>
      <w:r>
        <w:rPr>
          <w:rFonts w:hint="eastAsia"/>
          <w:bCs/>
          <w:sz w:val="24"/>
        </w:rPr>
        <w:t>（</w:t>
      </w:r>
      <w:r>
        <w:rPr>
          <w:bCs/>
          <w:sz w:val="24"/>
        </w:rPr>
        <w:t>15</w:t>
      </w:r>
      <w:r>
        <w:rPr>
          <w:rFonts w:hint="eastAsia"/>
          <w:bCs/>
          <w:sz w:val="24"/>
        </w:rPr>
        <w:t>）</w:t>
      </w:r>
      <w:r>
        <w:rPr>
          <w:bCs/>
          <w:sz w:val="24"/>
        </w:rPr>
        <w:t>本基金</w:t>
      </w:r>
      <w:r>
        <w:rPr>
          <w:rFonts w:hint="eastAsia"/>
          <w:bCs/>
          <w:sz w:val="24"/>
        </w:rPr>
        <w:t>管理人管理的全部开放式基金（包括开放式基金以及处于开放期的定期开放基金）持有一家上市公司发行的可流通股票，不得超过该上市公司可流通股票的</w:t>
      </w:r>
      <w:r>
        <w:rPr>
          <w:rFonts w:hint="eastAsia"/>
          <w:bCs/>
          <w:sz w:val="24"/>
        </w:rPr>
        <w:t>15%</w:t>
      </w:r>
      <w:r>
        <w:rPr>
          <w:bCs/>
          <w:sz w:val="24"/>
        </w:rPr>
        <w:t>；</w:t>
      </w:r>
      <w:r>
        <w:rPr>
          <w:rFonts w:hint="eastAsia"/>
          <w:bCs/>
          <w:sz w:val="24"/>
        </w:rPr>
        <w:t>本基金管理人管理的全部投资组合持有一家上市公司发行的可流通股票，不得超过该上市公司可流通股票</w:t>
      </w:r>
      <w:r>
        <w:rPr>
          <w:rFonts w:hint="eastAsia"/>
          <w:bCs/>
          <w:sz w:val="24"/>
        </w:rPr>
        <w:t>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3841DA88" w14:textId="77777777" w:rsidR="007C736D" w:rsidRDefault="00662CFB">
      <w:pPr>
        <w:spacing w:line="360" w:lineRule="auto"/>
        <w:ind w:firstLine="480"/>
        <w:jc w:val="left"/>
        <w:rPr>
          <w:bCs/>
          <w:sz w:val="24"/>
        </w:rPr>
      </w:pPr>
      <w:r>
        <w:rPr>
          <w:rFonts w:hint="eastAsia"/>
          <w:bCs/>
          <w:sz w:val="24"/>
        </w:rPr>
        <w:t>（</w:t>
      </w:r>
      <w:r>
        <w:rPr>
          <w:bCs/>
          <w:sz w:val="24"/>
        </w:rPr>
        <w:t>16</w:t>
      </w:r>
      <w:r>
        <w:rPr>
          <w:rFonts w:hint="eastAsia"/>
          <w:bCs/>
          <w:sz w:val="24"/>
        </w:rPr>
        <w:t>）本基金主动投资于流动性受限资产的市值合计不得超过基金资产净</w:t>
      </w:r>
      <w:r>
        <w:rPr>
          <w:rFonts w:hint="eastAsia"/>
          <w:bCs/>
          <w:sz w:val="24"/>
        </w:rPr>
        <w:lastRenderedPageBreak/>
        <w:t>值的</w:t>
      </w:r>
      <w:r>
        <w:rPr>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r>
        <w:rPr>
          <w:bCs/>
          <w:sz w:val="24"/>
        </w:rPr>
        <w:t xml:space="preserve"> </w:t>
      </w:r>
    </w:p>
    <w:p w14:paraId="03D3AE97" w14:textId="77777777" w:rsidR="007C736D" w:rsidRDefault="00662CFB">
      <w:pPr>
        <w:spacing w:line="360" w:lineRule="auto"/>
        <w:ind w:firstLine="480"/>
        <w:jc w:val="left"/>
        <w:rPr>
          <w:bCs/>
          <w:sz w:val="24"/>
        </w:rPr>
      </w:pPr>
      <w:r>
        <w:rPr>
          <w:rFonts w:hint="eastAsia"/>
          <w:bCs/>
          <w:sz w:val="24"/>
        </w:rPr>
        <w:t>（</w:t>
      </w:r>
      <w:r>
        <w:rPr>
          <w:rFonts w:hint="eastAsia"/>
          <w:bCs/>
          <w:sz w:val="24"/>
        </w:rPr>
        <w:t>1</w:t>
      </w:r>
      <w:r>
        <w:rPr>
          <w:bCs/>
          <w:sz w:val="24"/>
        </w:rPr>
        <w:t>7</w:t>
      </w:r>
      <w:r>
        <w:rPr>
          <w:rFonts w:hint="eastAsia"/>
          <w:bCs/>
          <w:sz w:val="24"/>
        </w:rPr>
        <w:t>）本基金与私募类证券资管产品及中国证监会认定的其他主体为交易对手开展逆回购交易的，可接受质押品的资质要求应当与本基金合同约定的投资范围保持一致；</w:t>
      </w:r>
    </w:p>
    <w:p w14:paraId="6866041A" w14:textId="77777777" w:rsidR="007C736D" w:rsidRDefault="00662CFB">
      <w:pPr>
        <w:spacing w:line="360" w:lineRule="auto"/>
        <w:ind w:firstLine="480"/>
        <w:jc w:val="left"/>
        <w:rPr>
          <w:bCs/>
          <w:sz w:val="24"/>
        </w:rPr>
      </w:pPr>
      <w:r>
        <w:rPr>
          <w:rFonts w:hint="eastAsia"/>
          <w:bCs/>
          <w:sz w:val="24"/>
        </w:rPr>
        <w:t>（</w:t>
      </w:r>
      <w:r>
        <w:rPr>
          <w:rFonts w:hint="eastAsia"/>
          <w:bCs/>
          <w:sz w:val="24"/>
        </w:rPr>
        <w:t>1</w:t>
      </w:r>
      <w:r>
        <w:rPr>
          <w:bCs/>
          <w:sz w:val="24"/>
        </w:rPr>
        <w:t>8</w:t>
      </w:r>
      <w:r>
        <w:rPr>
          <w:rFonts w:hint="eastAsia"/>
          <w:bCs/>
          <w:sz w:val="24"/>
        </w:rPr>
        <w:t>）</w:t>
      </w:r>
      <w:r>
        <w:rPr>
          <w:bCs/>
          <w:sz w:val="24"/>
        </w:rPr>
        <w:t>本基金资产总值不</w:t>
      </w:r>
      <w:r>
        <w:rPr>
          <w:bCs/>
          <w:sz w:val="24"/>
        </w:rPr>
        <w:t>超过基金资产净值的</w:t>
      </w:r>
      <w:r>
        <w:rPr>
          <w:bCs/>
          <w:sz w:val="24"/>
        </w:rPr>
        <w:t>140%</w:t>
      </w:r>
      <w:r>
        <w:rPr>
          <w:bCs/>
          <w:sz w:val="24"/>
        </w:rPr>
        <w:t>；</w:t>
      </w:r>
    </w:p>
    <w:p w14:paraId="2F522F29" w14:textId="77777777" w:rsidR="007C736D" w:rsidRDefault="00662CFB">
      <w:pPr>
        <w:spacing w:line="360" w:lineRule="auto"/>
        <w:ind w:firstLine="480"/>
        <w:jc w:val="left"/>
        <w:rPr>
          <w:bCs/>
          <w:sz w:val="24"/>
        </w:rPr>
      </w:pPr>
      <w:r>
        <w:rPr>
          <w:rFonts w:hint="eastAsia"/>
          <w:bCs/>
          <w:sz w:val="24"/>
        </w:rPr>
        <w:t>（</w:t>
      </w:r>
      <w:r>
        <w:rPr>
          <w:bCs/>
          <w:sz w:val="24"/>
        </w:rPr>
        <w:t>19</w:t>
      </w:r>
      <w:r>
        <w:rPr>
          <w:rFonts w:hint="eastAsia"/>
          <w:bCs/>
          <w:sz w:val="24"/>
        </w:rPr>
        <w:t>）本基金不持有具有信用保护卖方属性的信用衍生品；不持有合约类信用衍生品；本基金持有的信用衍生品名义本金不得超过本基金中所对应受保护债券面值的</w:t>
      </w:r>
      <w:r>
        <w:rPr>
          <w:rFonts w:hint="eastAsia"/>
          <w:bCs/>
          <w:sz w:val="24"/>
        </w:rPr>
        <w:t xml:space="preserve"> 100%</w:t>
      </w:r>
      <w:r>
        <w:rPr>
          <w:rFonts w:hint="eastAsia"/>
          <w:bCs/>
          <w:sz w:val="24"/>
        </w:rPr>
        <w:t>；本基金投资于同一信用保护卖方的各类信用衍生品名义本金合计不得超过基金资产净值的</w:t>
      </w:r>
      <w:r>
        <w:rPr>
          <w:rFonts w:hint="eastAsia"/>
          <w:bCs/>
          <w:sz w:val="24"/>
        </w:rPr>
        <w:t xml:space="preserve"> 10%</w:t>
      </w:r>
      <w:r>
        <w:rPr>
          <w:rFonts w:hint="eastAsia"/>
          <w:bCs/>
          <w:sz w:val="24"/>
        </w:rPr>
        <w:t>；因证券市场波动、期货市场波动、证券发行人合并、基金规模变动等基金管理人之外的因素致使基金投资比例不符合上述规定投资比例的，基金管理人应当在</w:t>
      </w:r>
      <w:r>
        <w:rPr>
          <w:rFonts w:hint="eastAsia"/>
          <w:bCs/>
          <w:sz w:val="24"/>
        </w:rPr>
        <w:t>3</w:t>
      </w:r>
      <w:r>
        <w:rPr>
          <w:rFonts w:hint="eastAsia"/>
          <w:bCs/>
          <w:sz w:val="24"/>
        </w:rPr>
        <w:t>个月内进行调整；</w:t>
      </w:r>
    </w:p>
    <w:p w14:paraId="5049307D" w14:textId="77777777" w:rsidR="007C736D" w:rsidRDefault="00662CFB">
      <w:pPr>
        <w:pStyle w:val="unnamed1"/>
        <w:spacing w:line="360" w:lineRule="auto"/>
        <w:ind w:firstLine="480"/>
        <w:rPr>
          <w:rFonts w:hint="default"/>
          <w:sz w:val="24"/>
        </w:rPr>
      </w:pPr>
      <w:r>
        <w:rPr>
          <w:rFonts w:ascii="Times New Roman" w:hAnsi="Times New Roman"/>
          <w:sz w:val="24"/>
        </w:rPr>
        <w:t>（</w:t>
      </w:r>
      <w:r>
        <w:rPr>
          <w:rFonts w:ascii="Times New Roman" w:hAnsi="Times New Roman" w:hint="default"/>
          <w:sz w:val="24"/>
        </w:rPr>
        <w:t>20</w:t>
      </w:r>
      <w:r>
        <w:rPr>
          <w:rFonts w:ascii="Times New Roman" w:hAnsi="Times New Roman"/>
          <w:sz w:val="24"/>
        </w:rPr>
        <w:t>）本基金投资存托凭证的比例限制依照境内上市交易的股票执行，与境内上市交易的股票合并计算；</w:t>
      </w:r>
    </w:p>
    <w:p w14:paraId="6C60697C" w14:textId="77777777" w:rsidR="007C736D" w:rsidRDefault="00662CFB">
      <w:pPr>
        <w:spacing w:line="360" w:lineRule="auto"/>
        <w:ind w:firstLine="480"/>
        <w:jc w:val="left"/>
        <w:rPr>
          <w:bCs/>
          <w:sz w:val="24"/>
        </w:rPr>
      </w:pPr>
      <w:r>
        <w:rPr>
          <w:rFonts w:hint="eastAsia"/>
          <w:bCs/>
          <w:sz w:val="24"/>
        </w:rPr>
        <w:t>（</w:t>
      </w:r>
      <w:r>
        <w:rPr>
          <w:rFonts w:hint="eastAsia"/>
          <w:bCs/>
          <w:sz w:val="24"/>
        </w:rPr>
        <w:t>2</w:t>
      </w:r>
      <w:r>
        <w:rPr>
          <w:bCs/>
          <w:sz w:val="24"/>
        </w:rPr>
        <w:t>1</w:t>
      </w:r>
      <w:r>
        <w:rPr>
          <w:rFonts w:hint="eastAsia"/>
          <w:bCs/>
          <w:sz w:val="24"/>
        </w:rPr>
        <w:t>）法律法规及中国证监会规定的和《基金合同》约定的其他投资限制。</w:t>
      </w:r>
      <w:r>
        <w:rPr>
          <w:bCs/>
          <w:sz w:val="24"/>
        </w:rPr>
        <w:t xml:space="preserve"> </w:t>
      </w:r>
    </w:p>
    <w:p w14:paraId="1557CEA7" w14:textId="77777777" w:rsidR="007C736D" w:rsidRDefault="00662CFB">
      <w:pPr>
        <w:spacing w:line="360" w:lineRule="auto"/>
        <w:ind w:firstLine="480"/>
        <w:jc w:val="left"/>
        <w:rPr>
          <w:bCs/>
          <w:sz w:val="24"/>
        </w:rPr>
      </w:pPr>
      <w:r>
        <w:rPr>
          <w:rFonts w:hint="eastAsia"/>
          <w:bCs/>
          <w:sz w:val="24"/>
        </w:rPr>
        <w:t>除上述（</w:t>
      </w:r>
      <w:r>
        <w:rPr>
          <w:bCs/>
          <w:sz w:val="24"/>
        </w:rPr>
        <w:t>2</w:t>
      </w:r>
      <w:r>
        <w:rPr>
          <w:rFonts w:hint="eastAsia"/>
          <w:bCs/>
          <w:sz w:val="24"/>
        </w:rPr>
        <w:t>）、（</w:t>
      </w:r>
      <w:r>
        <w:rPr>
          <w:rFonts w:hint="eastAsia"/>
          <w:bCs/>
          <w:sz w:val="24"/>
        </w:rPr>
        <w:t>9</w:t>
      </w:r>
      <w:r>
        <w:rPr>
          <w:rFonts w:hint="eastAsia"/>
          <w:bCs/>
          <w:sz w:val="24"/>
        </w:rPr>
        <w:t>）、（</w:t>
      </w:r>
      <w:r>
        <w:rPr>
          <w:bCs/>
          <w:sz w:val="24"/>
        </w:rPr>
        <w:t>16</w:t>
      </w:r>
      <w:r>
        <w:rPr>
          <w:rFonts w:hint="eastAsia"/>
          <w:bCs/>
          <w:sz w:val="24"/>
        </w:rPr>
        <w:t>）、（</w:t>
      </w:r>
      <w:r>
        <w:rPr>
          <w:bCs/>
          <w:sz w:val="24"/>
        </w:rPr>
        <w:t>17</w:t>
      </w:r>
      <w:r>
        <w:rPr>
          <w:rFonts w:hint="eastAsia"/>
          <w:bCs/>
          <w:sz w:val="24"/>
        </w:rPr>
        <w:t>）、（</w:t>
      </w:r>
      <w:r>
        <w:rPr>
          <w:bCs/>
          <w:sz w:val="24"/>
        </w:rPr>
        <w:t>19</w:t>
      </w:r>
      <w:r>
        <w:rPr>
          <w:rFonts w:hint="eastAsia"/>
          <w:bCs/>
          <w:sz w:val="24"/>
        </w:rPr>
        <w:t>）情形之外，因证券、期货市场波动、证券发行人</w:t>
      </w:r>
      <w:r>
        <w:rPr>
          <w:bCs/>
          <w:sz w:val="24"/>
        </w:rPr>
        <w:t>合并</w:t>
      </w:r>
      <w:r>
        <w:rPr>
          <w:rFonts w:hint="eastAsia"/>
          <w:bCs/>
          <w:sz w:val="24"/>
        </w:rPr>
        <w:t>、基金规模变动等基金管理人之外的因素致使基金投资比例不符合上述规定投资比例的，基金管理人应当在</w:t>
      </w:r>
      <w:r>
        <w:rPr>
          <w:bCs/>
          <w:sz w:val="24"/>
        </w:rPr>
        <w:t xml:space="preserve">10 </w:t>
      </w:r>
      <w:r>
        <w:rPr>
          <w:rFonts w:hint="eastAsia"/>
          <w:bCs/>
          <w:sz w:val="24"/>
        </w:rPr>
        <w:t>个交易日内进行调整，但中国证监会规定的特殊情形除外。法律法规或监管部门另有规定的，从其规定。</w:t>
      </w:r>
    </w:p>
    <w:p w14:paraId="61A6B90D" w14:textId="77777777" w:rsidR="007C736D" w:rsidRDefault="00662CFB">
      <w:pPr>
        <w:spacing w:line="360" w:lineRule="auto"/>
        <w:ind w:firstLine="480"/>
        <w:jc w:val="left"/>
        <w:rPr>
          <w:bCs/>
          <w:sz w:val="24"/>
        </w:rPr>
      </w:pPr>
      <w:r>
        <w:rPr>
          <w:rFonts w:hint="eastAsia"/>
          <w:bCs/>
          <w:sz w:val="24"/>
        </w:rPr>
        <w:t>基金管理人应当自基金合同生效之日起</w:t>
      </w:r>
      <w:r>
        <w:rPr>
          <w:bCs/>
          <w:sz w:val="24"/>
        </w:rPr>
        <w:t>6</w:t>
      </w:r>
      <w:r>
        <w:rPr>
          <w:rFonts w:hint="eastAsia"/>
          <w:bCs/>
          <w:sz w:val="24"/>
        </w:rPr>
        <w:t>个月内使基金的投资组合比</w:t>
      </w:r>
      <w:r>
        <w:rPr>
          <w:rFonts w:hint="eastAsia"/>
          <w:bCs/>
          <w:sz w:val="24"/>
        </w:rPr>
        <w:t>例符合基金合同的有关约定。在</w:t>
      </w:r>
      <w:r>
        <w:rPr>
          <w:bCs/>
          <w:sz w:val="24"/>
        </w:rPr>
        <w:t>上述</w:t>
      </w:r>
      <w:r>
        <w:rPr>
          <w:rFonts w:hint="eastAsia"/>
          <w:bCs/>
          <w:sz w:val="24"/>
        </w:rPr>
        <w:t>期间内，本基金的投资范围、投资策略应当符合基金合同的约定。基金托管人对基金的投资的监督与检查自本基金合同生效之日起开始。法律法规或监管部门另有规定的，从其规定。</w:t>
      </w:r>
    </w:p>
    <w:p w14:paraId="3B8956CC" w14:textId="77777777" w:rsidR="007C736D" w:rsidRDefault="00662CFB">
      <w:pPr>
        <w:spacing w:line="360" w:lineRule="auto"/>
        <w:ind w:firstLine="480"/>
        <w:jc w:val="left"/>
        <w:rPr>
          <w:bCs/>
          <w:sz w:val="24"/>
        </w:rPr>
      </w:pPr>
      <w:r>
        <w:rPr>
          <w:rFonts w:hint="eastAsia"/>
          <w:bCs/>
          <w:sz w:val="24"/>
        </w:rPr>
        <w:t>法律法规或监管部门取消或调整上述限制，如适用于本基金，基金管理人在履行适当程序后，则本基金投资不再受相关限制或以调整后的规定为准。</w:t>
      </w:r>
    </w:p>
    <w:p w14:paraId="7E3F0DD7" w14:textId="77777777" w:rsidR="007C736D" w:rsidRDefault="00662CFB">
      <w:pPr>
        <w:spacing w:line="360" w:lineRule="auto"/>
        <w:ind w:firstLine="480"/>
        <w:rPr>
          <w:bCs/>
          <w:sz w:val="24"/>
        </w:rPr>
      </w:pPr>
      <w:r>
        <w:rPr>
          <w:bCs/>
          <w:sz w:val="24"/>
        </w:rPr>
        <w:t>2</w:t>
      </w:r>
      <w:r>
        <w:rPr>
          <w:rFonts w:hint="eastAsia"/>
          <w:bCs/>
          <w:sz w:val="24"/>
        </w:rPr>
        <w:t>、</w:t>
      </w:r>
      <w:r>
        <w:rPr>
          <w:bCs/>
          <w:sz w:val="24"/>
        </w:rPr>
        <w:t>禁止行为</w:t>
      </w:r>
    </w:p>
    <w:p w14:paraId="5DAB079E" w14:textId="77777777" w:rsidR="007C736D" w:rsidRDefault="00662CFB">
      <w:pPr>
        <w:spacing w:line="360" w:lineRule="auto"/>
        <w:ind w:firstLine="480"/>
        <w:rPr>
          <w:bCs/>
          <w:sz w:val="24"/>
        </w:rPr>
      </w:pPr>
      <w:r>
        <w:rPr>
          <w:bCs/>
          <w:sz w:val="24"/>
        </w:rPr>
        <w:t>为维护基金份额持有人的合法权益，基金财产不得用于下列投资或者活动：</w:t>
      </w:r>
    </w:p>
    <w:p w14:paraId="486EBC64" w14:textId="77777777" w:rsidR="007C736D" w:rsidRDefault="00662CFB">
      <w:pPr>
        <w:spacing w:line="360" w:lineRule="auto"/>
        <w:ind w:firstLine="480"/>
        <w:rPr>
          <w:bCs/>
          <w:sz w:val="24"/>
        </w:rPr>
      </w:pPr>
      <w:r>
        <w:rPr>
          <w:rFonts w:hint="eastAsia"/>
          <w:bCs/>
          <w:sz w:val="24"/>
        </w:rPr>
        <w:lastRenderedPageBreak/>
        <w:t>（</w:t>
      </w:r>
      <w:r>
        <w:rPr>
          <w:rFonts w:hint="eastAsia"/>
          <w:bCs/>
          <w:sz w:val="24"/>
        </w:rPr>
        <w:t>1</w:t>
      </w:r>
      <w:r>
        <w:rPr>
          <w:rFonts w:hint="eastAsia"/>
          <w:bCs/>
          <w:sz w:val="24"/>
        </w:rPr>
        <w:t>）承销证券；</w:t>
      </w:r>
    </w:p>
    <w:p w14:paraId="249C70AF" w14:textId="77777777" w:rsidR="007C736D" w:rsidRDefault="00662CFB">
      <w:pPr>
        <w:spacing w:line="360" w:lineRule="auto"/>
        <w:ind w:firstLine="480"/>
        <w:rPr>
          <w:bCs/>
          <w:sz w:val="24"/>
        </w:rPr>
      </w:pPr>
      <w:r>
        <w:rPr>
          <w:rFonts w:hint="eastAsia"/>
          <w:bCs/>
          <w:sz w:val="24"/>
        </w:rPr>
        <w:t>（</w:t>
      </w:r>
      <w:r>
        <w:rPr>
          <w:rFonts w:hint="eastAsia"/>
          <w:bCs/>
          <w:sz w:val="24"/>
        </w:rPr>
        <w:t>2</w:t>
      </w:r>
      <w:r>
        <w:rPr>
          <w:rFonts w:hint="eastAsia"/>
          <w:bCs/>
          <w:sz w:val="24"/>
        </w:rPr>
        <w:t>）违反规定向他人贷款或者提供担保；</w:t>
      </w:r>
    </w:p>
    <w:p w14:paraId="21D23212" w14:textId="77777777" w:rsidR="007C736D" w:rsidRDefault="00662CFB">
      <w:pPr>
        <w:spacing w:line="360" w:lineRule="auto"/>
        <w:ind w:firstLine="480"/>
        <w:rPr>
          <w:bCs/>
          <w:sz w:val="24"/>
        </w:rPr>
      </w:pPr>
      <w:r>
        <w:rPr>
          <w:rFonts w:hint="eastAsia"/>
          <w:bCs/>
          <w:sz w:val="24"/>
        </w:rPr>
        <w:t>（</w:t>
      </w:r>
      <w:r>
        <w:rPr>
          <w:rFonts w:hint="eastAsia"/>
          <w:bCs/>
          <w:sz w:val="24"/>
        </w:rPr>
        <w:t>3</w:t>
      </w:r>
      <w:r>
        <w:rPr>
          <w:rFonts w:hint="eastAsia"/>
          <w:bCs/>
          <w:sz w:val="24"/>
        </w:rPr>
        <w:t>）从事承担无限责任的投资；</w:t>
      </w:r>
    </w:p>
    <w:p w14:paraId="056C5115" w14:textId="77777777" w:rsidR="007C736D" w:rsidRDefault="00662CFB">
      <w:pPr>
        <w:spacing w:line="360" w:lineRule="auto"/>
        <w:ind w:firstLine="480"/>
        <w:rPr>
          <w:bCs/>
          <w:sz w:val="24"/>
        </w:rPr>
      </w:pPr>
      <w:r>
        <w:rPr>
          <w:rFonts w:hint="eastAsia"/>
          <w:bCs/>
          <w:sz w:val="24"/>
        </w:rPr>
        <w:t>（</w:t>
      </w:r>
      <w:r>
        <w:rPr>
          <w:rFonts w:hint="eastAsia"/>
          <w:bCs/>
          <w:sz w:val="24"/>
        </w:rPr>
        <w:t>4</w:t>
      </w:r>
      <w:r>
        <w:rPr>
          <w:rFonts w:hint="eastAsia"/>
          <w:bCs/>
          <w:sz w:val="24"/>
        </w:rPr>
        <w:t>）买卖其他</w:t>
      </w:r>
      <w:r>
        <w:rPr>
          <w:rFonts w:hint="eastAsia"/>
          <w:bCs/>
          <w:sz w:val="24"/>
        </w:rPr>
        <w:t>基金份额，但是法律法规或中国证监会另有规定的除外；</w:t>
      </w:r>
    </w:p>
    <w:p w14:paraId="2D8D8105" w14:textId="77777777" w:rsidR="007C736D" w:rsidRDefault="00662CFB">
      <w:pPr>
        <w:spacing w:line="360" w:lineRule="auto"/>
        <w:ind w:firstLine="480"/>
        <w:rPr>
          <w:bCs/>
          <w:sz w:val="24"/>
        </w:rPr>
      </w:pPr>
      <w:r>
        <w:rPr>
          <w:rFonts w:hint="eastAsia"/>
          <w:bCs/>
          <w:sz w:val="24"/>
        </w:rPr>
        <w:t>（</w:t>
      </w:r>
      <w:r>
        <w:rPr>
          <w:rFonts w:hint="eastAsia"/>
          <w:bCs/>
          <w:sz w:val="24"/>
        </w:rPr>
        <w:t>5</w:t>
      </w:r>
      <w:r>
        <w:rPr>
          <w:rFonts w:hint="eastAsia"/>
          <w:bCs/>
          <w:sz w:val="24"/>
        </w:rPr>
        <w:t>）</w:t>
      </w:r>
      <w:r>
        <w:rPr>
          <w:rFonts w:hint="eastAsia"/>
          <w:sz w:val="24"/>
        </w:rPr>
        <w:t>向其基金管理人、基金托管人出资；</w:t>
      </w:r>
    </w:p>
    <w:p w14:paraId="456ECD71" w14:textId="77777777" w:rsidR="007C736D" w:rsidRDefault="00662CFB">
      <w:pPr>
        <w:spacing w:line="360" w:lineRule="auto"/>
        <w:ind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14:paraId="75A1A2DA" w14:textId="77777777" w:rsidR="007C736D" w:rsidRDefault="00662CFB">
      <w:pPr>
        <w:spacing w:line="360" w:lineRule="auto"/>
        <w:ind w:firstLine="480"/>
        <w:rPr>
          <w:bCs/>
          <w:sz w:val="24"/>
        </w:rPr>
      </w:pPr>
      <w:r>
        <w:rPr>
          <w:rFonts w:hint="eastAsia"/>
          <w:bCs/>
          <w:sz w:val="24"/>
        </w:rPr>
        <w:t>（</w:t>
      </w:r>
      <w:r>
        <w:rPr>
          <w:rFonts w:hint="eastAsia"/>
          <w:bCs/>
          <w:sz w:val="24"/>
        </w:rPr>
        <w:t>7</w:t>
      </w:r>
      <w:r>
        <w:rPr>
          <w:rFonts w:hint="eastAsia"/>
          <w:bCs/>
          <w:sz w:val="24"/>
        </w:rPr>
        <w:t>）</w:t>
      </w:r>
      <w:r>
        <w:rPr>
          <w:rFonts w:ascii="宋体" w:cs="宋体" w:hint="eastAsia"/>
          <w:sz w:val="24"/>
          <w:szCs w:val="24"/>
        </w:rPr>
        <w:t>法律、行政法规和中国证监会规定禁止的其他活动。</w:t>
      </w:r>
    </w:p>
    <w:p w14:paraId="3959593C" w14:textId="77777777" w:rsidR="007C736D" w:rsidRDefault="00662CFB">
      <w:pPr>
        <w:spacing w:line="360" w:lineRule="auto"/>
        <w:ind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w:t>
      </w:r>
      <w:r>
        <w:rPr>
          <w:rFonts w:hint="eastAsia"/>
          <w:bCs/>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890A3CD" w14:textId="77777777" w:rsidR="007C736D" w:rsidRDefault="00662CFB">
      <w:pPr>
        <w:spacing w:line="360" w:lineRule="auto"/>
        <w:ind w:firstLine="480"/>
        <w:rPr>
          <w:bCs/>
          <w:sz w:val="24"/>
        </w:rPr>
      </w:pPr>
      <w:r>
        <w:rPr>
          <w:rFonts w:hint="eastAsia"/>
          <w:bCs/>
          <w:sz w:val="24"/>
        </w:rPr>
        <w:t>法律、行政法规或监管部门取消或变更上述禁止性规定，如适用于本基金，基金管理人在履行适当程序后，则本基金投资不再受相关限制或按变更后的规定执行。</w:t>
      </w:r>
    </w:p>
    <w:p w14:paraId="3BC4B110" w14:textId="77777777" w:rsidR="007C736D" w:rsidRDefault="00662CFB">
      <w:pPr>
        <w:spacing w:line="360" w:lineRule="auto"/>
        <w:ind w:firstLine="425"/>
        <w:jc w:val="left"/>
        <w:rPr>
          <w:bCs/>
          <w:sz w:val="24"/>
        </w:rPr>
      </w:pPr>
      <w:r>
        <w:rPr>
          <w:bCs/>
          <w:sz w:val="24"/>
        </w:rPr>
        <w:t>五、业绩比较基准</w:t>
      </w:r>
    </w:p>
    <w:p w14:paraId="5D24F500" w14:textId="77777777" w:rsidR="007C736D" w:rsidRDefault="00662CFB">
      <w:pPr>
        <w:spacing w:line="360" w:lineRule="auto"/>
        <w:ind w:firstLine="425"/>
        <w:jc w:val="left"/>
        <w:rPr>
          <w:bCs/>
          <w:sz w:val="24"/>
        </w:rPr>
      </w:pPr>
      <w:r>
        <w:rPr>
          <w:rFonts w:hint="eastAsia"/>
          <w:bCs/>
          <w:sz w:val="24"/>
        </w:rPr>
        <w:t>恒生科技指数收益率（经汇率调整）×</w:t>
      </w:r>
      <w:r>
        <w:rPr>
          <w:rFonts w:hint="eastAsia"/>
          <w:bCs/>
          <w:sz w:val="24"/>
        </w:rPr>
        <w:t>80%+</w:t>
      </w:r>
      <w:r>
        <w:rPr>
          <w:rFonts w:hint="eastAsia"/>
          <w:bCs/>
          <w:sz w:val="24"/>
        </w:rPr>
        <w:t>中证全债指数收益率×</w:t>
      </w:r>
      <w:r>
        <w:rPr>
          <w:rFonts w:hint="eastAsia"/>
          <w:bCs/>
          <w:sz w:val="24"/>
        </w:rPr>
        <w:t>20%</w:t>
      </w:r>
    </w:p>
    <w:p w14:paraId="1A6AF40D" w14:textId="77777777" w:rsidR="007C736D" w:rsidRDefault="00662CFB">
      <w:pPr>
        <w:spacing w:line="360" w:lineRule="auto"/>
        <w:ind w:firstLine="425"/>
        <w:jc w:val="left"/>
        <w:rPr>
          <w:bCs/>
          <w:sz w:val="24"/>
        </w:rPr>
      </w:pPr>
      <w:r>
        <w:rPr>
          <w:rFonts w:hint="eastAsia"/>
          <w:bCs/>
          <w:sz w:val="24"/>
        </w:rPr>
        <w:t>采用该比较基准主要基于如下考虑：</w:t>
      </w:r>
      <w:r>
        <w:rPr>
          <w:bCs/>
          <w:sz w:val="24"/>
        </w:rPr>
        <w:t xml:space="preserve"> </w:t>
      </w:r>
    </w:p>
    <w:p w14:paraId="2B3B07BA" w14:textId="77777777" w:rsidR="007C736D" w:rsidRDefault="00662CFB">
      <w:pPr>
        <w:spacing w:line="360" w:lineRule="auto"/>
        <w:ind w:firstLine="480"/>
        <w:rPr>
          <w:bCs/>
          <w:sz w:val="24"/>
        </w:rPr>
      </w:pPr>
      <w:r>
        <w:rPr>
          <w:rFonts w:hint="eastAsia"/>
          <w:bCs/>
          <w:sz w:val="24"/>
        </w:rPr>
        <w:t>恒生科技指数由恒生指数有限公司编制，该指数选取代表最大</w:t>
      </w:r>
      <w:r>
        <w:rPr>
          <w:rFonts w:hint="eastAsia"/>
          <w:bCs/>
          <w:sz w:val="24"/>
        </w:rPr>
        <w:t xml:space="preserve"> </w:t>
      </w:r>
      <w:r>
        <w:rPr>
          <w:rFonts w:hint="eastAsia"/>
          <w:bCs/>
          <w:sz w:val="24"/>
        </w:rPr>
        <w:t xml:space="preserve">30 </w:t>
      </w:r>
      <w:r>
        <w:rPr>
          <w:rFonts w:hint="eastAsia"/>
          <w:bCs/>
          <w:sz w:val="24"/>
        </w:rPr>
        <w:t>家与科技</w:t>
      </w:r>
    </w:p>
    <w:p w14:paraId="024C364B" w14:textId="77777777" w:rsidR="007C736D" w:rsidRDefault="00662CFB">
      <w:pPr>
        <w:spacing w:line="360" w:lineRule="auto"/>
        <w:rPr>
          <w:bCs/>
          <w:sz w:val="24"/>
        </w:rPr>
      </w:pPr>
      <w:r>
        <w:rPr>
          <w:rFonts w:hint="eastAsia"/>
          <w:bCs/>
          <w:sz w:val="24"/>
        </w:rPr>
        <w:t>主题高度相关的香港上市公司作为样本股，能较好地反映香港市场科技主题相关上市公司的收益表现。中证全债指数由中证指数有限公司编制，中证全债指数是综合反映银行间债券市场和沪深交易所债券市场的跨市场债券指数，适合作为本基金债券投资的比较基准。</w:t>
      </w:r>
    </w:p>
    <w:p w14:paraId="4303C58E" w14:textId="77777777" w:rsidR="007C736D" w:rsidRDefault="00662CFB">
      <w:pPr>
        <w:spacing w:line="360" w:lineRule="auto"/>
        <w:ind w:firstLine="480"/>
        <w:rPr>
          <w:bCs/>
          <w:sz w:val="24"/>
        </w:rPr>
      </w:pPr>
      <w:r>
        <w:rPr>
          <w:rFonts w:hint="eastAsia"/>
          <w:bCs/>
          <w:sz w:val="24"/>
        </w:rPr>
        <w:t>若未来法律法规发生变化，或者有更权威的、更能为市场普遍接受的业绩比较基准推出，或者是市场上出现更加适合用于本基金的业绩比较基准的指数或本业绩比较基准的指数停止发布，本基金管理人可以依据维护投资者合法权</w:t>
      </w:r>
      <w:r>
        <w:rPr>
          <w:rFonts w:hint="eastAsia"/>
          <w:bCs/>
          <w:sz w:val="24"/>
        </w:rPr>
        <w:lastRenderedPageBreak/>
        <w:t>益的原则，在与基金托管人协商一致按照监管部门要求履行适当程序</w:t>
      </w:r>
      <w:r>
        <w:rPr>
          <w:rFonts w:hint="eastAsia"/>
          <w:bCs/>
          <w:sz w:val="24"/>
        </w:rPr>
        <w:t>后适当调整业绩比较基准并及时公告，而无需召开基金份额持有人大会。</w:t>
      </w:r>
    </w:p>
    <w:p w14:paraId="75A8D4B0" w14:textId="77777777" w:rsidR="007C736D" w:rsidRDefault="00662CFB">
      <w:pPr>
        <w:spacing w:line="360" w:lineRule="auto"/>
        <w:ind w:firstLine="480"/>
        <w:rPr>
          <w:bCs/>
          <w:sz w:val="24"/>
        </w:rPr>
      </w:pPr>
      <w:r>
        <w:rPr>
          <w:bCs/>
          <w:sz w:val="24"/>
        </w:rPr>
        <w:t>六、风险收益特征</w:t>
      </w:r>
    </w:p>
    <w:p w14:paraId="178A9421" w14:textId="77777777" w:rsidR="007C736D" w:rsidRDefault="00662CFB">
      <w:pPr>
        <w:spacing w:line="360" w:lineRule="auto"/>
        <w:ind w:firstLine="480"/>
        <w:jc w:val="left"/>
        <w:rPr>
          <w:bCs/>
          <w:sz w:val="24"/>
        </w:rPr>
      </w:pPr>
      <w:r>
        <w:rPr>
          <w:rFonts w:hint="eastAsia"/>
          <w:bCs/>
          <w:sz w:val="24"/>
        </w:rPr>
        <w:t>本基金为混合型基金，预期风险和收益低于股票型基金，高于债券型基金和货币市场基金。</w:t>
      </w:r>
    </w:p>
    <w:p w14:paraId="33C8611A" w14:textId="77777777" w:rsidR="007C736D" w:rsidRDefault="00662CFB">
      <w:pPr>
        <w:spacing w:line="360" w:lineRule="auto"/>
        <w:ind w:firstLine="480"/>
        <w:jc w:val="left"/>
        <w:rPr>
          <w:bCs/>
          <w:sz w:val="24"/>
        </w:rPr>
      </w:pPr>
      <w:r>
        <w:rPr>
          <w:rFonts w:hint="eastAsia"/>
          <w:bCs/>
          <w:sz w:val="24"/>
        </w:rPr>
        <w:t>本基金投资港股通标的股票，需承担港股通机制下因投资环境、投资标的、市场制度以及交易规则等差异带来的特有风险。</w:t>
      </w:r>
    </w:p>
    <w:p w14:paraId="2D7799EA" w14:textId="77777777" w:rsidR="007C736D" w:rsidRDefault="00662CFB">
      <w:pPr>
        <w:spacing w:line="360" w:lineRule="auto"/>
        <w:ind w:firstLine="480"/>
        <w:rPr>
          <w:bCs/>
          <w:sz w:val="24"/>
        </w:rPr>
      </w:pPr>
      <w:r>
        <w:rPr>
          <w:rFonts w:hint="eastAsia"/>
          <w:bCs/>
          <w:sz w:val="24"/>
        </w:rPr>
        <w:t>七、基金管理人代表基金行使股东或债权人权利的处理原则及方法</w:t>
      </w:r>
    </w:p>
    <w:p w14:paraId="070104D4" w14:textId="77777777" w:rsidR="007C736D" w:rsidRDefault="00662CFB">
      <w:pPr>
        <w:spacing w:line="360" w:lineRule="auto"/>
        <w:ind w:firstLine="480"/>
        <w:rPr>
          <w:bCs/>
          <w:sz w:val="24"/>
        </w:rPr>
      </w:pPr>
      <w:r>
        <w:rPr>
          <w:rFonts w:hint="eastAsia"/>
          <w:bCs/>
          <w:sz w:val="24"/>
        </w:rPr>
        <w:t>1</w:t>
      </w:r>
      <w:r>
        <w:rPr>
          <w:rFonts w:hint="eastAsia"/>
          <w:bCs/>
          <w:sz w:val="24"/>
        </w:rPr>
        <w:t>、基金管理人按照国家有关规定代表基金独立行使股东或债权人权利，保护基金份额持有人的利益；</w:t>
      </w:r>
    </w:p>
    <w:p w14:paraId="3637EB97" w14:textId="77777777" w:rsidR="007C736D" w:rsidRDefault="00662CFB">
      <w:pPr>
        <w:spacing w:line="360" w:lineRule="auto"/>
        <w:ind w:firstLine="480"/>
        <w:rPr>
          <w:bCs/>
          <w:sz w:val="24"/>
        </w:rPr>
      </w:pPr>
      <w:r>
        <w:rPr>
          <w:rFonts w:hint="eastAsia"/>
          <w:bCs/>
          <w:sz w:val="24"/>
        </w:rPr>
        <w:t>2</w:t>
      </w:r>
      <w:r>
        <w:rPr>
          <w:rFonts w:hint="eastAsia"/>
          <w:bCs/>
          <w:sz w:val="24"/>
        </w:rPr>
        <w:t>、不谋求对上市公司的控股；</w:t>
      </w:r>
      <w:r>
        <w:rPr>
          <w:rFonts w:hint="eastAsia"/>
          <w:bCs/>
          <w:sz w:val="24"/>
        </w:rPr>
        <w:t xml:space="preserve"> </w:t>
      </w:r>
    </w:p>
    <w:p w14:paraId="43242C82" w14:textId="77777777" w:rsidR="007C736D" w:rsidRDefault="00662CFB">
      <w:pPr>
        <w:spacing w:line="360" w:lineRule="auto"/>
        <w:ind w:firstLine="480"/>
        <w:rPr>
          <w:bCs/>
          <w:sz w:val="24"/>
        </w:rPr>
      </w:pPr>
      <w:r>
        <w:rPr>
          <w:rFonts w:hint="eastAsia"/>
          <w:bCs/>
          <w:sz w:val="24"/>
        </w:rPr>
        <w:t>3</w:t>
      </w:r>
      <w:r>
        <w:rPr>
          <w:rFonts w:hint="eastAsia"/>
          <w:bCs/>
          <w:sz w:val="24"/>
        </w:rPr>
        <w:t>、有利于基金财产的安全与增值；</w:t>
      </w:r>
    </w:p>
    <w:p w14:paraId="114AF198" w14:textId="77777777" w:rsidR="007C736D" w:rsidRDefault="00662CFB">
      <w:pPr>
        <w:spacing w:line="360" w:lineRule="auto"/>
        <w:ind w:firstLine="480"/>
        <w:rPr>
          <w:bCs/>
          <w:sz w:val="24"/>
        </w:rPr>
      </w:pPr>
      <w:r>
        <w:rPr>
          <w:bCs/>
          <w:sz w:val="24"/>
        </w:rPr>
        <w:t>4</w:t>
      </w:r>
      <w:r>
        <w:rPr>
          <w:rFonts w:hint="eastAsia"/>
          <w:bCs/>
          <w:sz w:val="24"/>
        </w:rPr>
        <w:t>、不通过关联交易为自身、雇员、授权代理人或任何存在利害关系的第三人牟取任何不当利益。</w:t>
      </w:r>
    </w:p>
    <w:p w14:paraId="61D25EBE" w14:textId="77777777" w:rsidR="007C736D" w:rsidRDefault="00662CFB">
      <w:pPr>
        <w:spacing w:line="360" w:lineRule="auto"/>
        <w:ind w:firstLine="480"/>
        <w:rPr>
          <w:sz w:val="24"/>
        </w:rPr>
      </w:pPr>
      <w:r>
        <w:rPr>
          <w:rFonts w:hint="eastAsia"/>
          <w:sz w:val="24"/>
        </w:rPr>
        <w:t>八、侧袋机制的实施和投资运作安排</w:t>
      </w:r>
      <w:r>
        <w:rPr>
          <w:rFonts w:hint="eastAsia"/>
          <w:sz w:val="24"/>
        </w:rPr>
        <w:t xml:space="preserve"> </w:t>
      </w:r>
    </w:p>
    <w:p w14:paraId="6CBFD0F2" w14:textId="77777777" w:rsidR="007C736D" w:rsidRDefault="00662CFB">
      <w:pPr>
        <w:spacing w:line="360" w:lineRule="auto"/>
        <w:ind w:firstLine="480"/>
        <w:rPr>
          <w:sz w:val="24"/>
        </w:rPr>
      </w:pPr>
      <w:r>
        <w:rPr>
          <w:rFonts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r>
        <w:rPr>
          <w:rFonts w:hint="eastAsia"/>
          <w:sz w:val="24"/>
        </w:rPr>
        <w:t xml:space="preserve"> </w:t>
      </w:r>
    </w:p>
    <w:p w14:paraId="04805D94" w14:textId="77777777" w:rsidR="007C736D" w:rsidRDefault="00662CFB">
      <w:pPr>
        <w:spacing w:line="360" w:lineRule="auto"/>
        <w:ind w:firstLine="480"/>
        <w:rPr>
          <w:sz w:val="24"/>
        </w:rPr>
      </w:pPr>
      <w:r>
        <w:rPr>
          <w:rFonts w:hint="eastAsia"/>
          <w:sz w:val="24"/>
        </w:rPr>
        <w:t>侧袋机制实施期间，本部分约定的投资组合比例、投资策略、组合限制、业绩比较基准、风险收益特征等约定仅适用于主袋账户。</w:t>
      </w:r>
      <w:r>
        <w:rPr>
          <w:rFonts w:hint="eastAsia"/>
          <w:sz w:val="24"/>
        </w:rPr>
        <w:t xml:space="preserve"> </w:t>
      </w:r>
    </w:p>
    <w:p w14:paraId="09A280BE" w14:textId="77777777" w:rsidR="007C736D" w:rsidRDefault="00662CFB">
      <w:pPr>
        <w:spacing w:line="360" w:lineRule="auto"/>
        <w:ind w:firstLine="480"/>
        <w:rPr>
          <w:sz w:val="24"/>
        </w:rPr>
      </w:pPr>
      <w:r>
        <w:rPr>
          <w:rFonts w:hint="eastAsia"/>
          <w:sz w:val="24"/>
        </w:rPr>
        <w:t>侧袋账户的实施条件、实施程序、运作安排、投</w:t>
      </w:r>
      <w:r>
        <w:rPr>
          <w:rFonts w:hint="eastAsia"/>
          <w:sz w:val="24"/>
        </w:rPr>
        <w:t>资安排、特定资产的处置变现和支付等对投资者权益有重大影响的事项详见招募说明书的规定。</w:t>
      </w:r>
    </w:p>
    <w:p w14:paraId="5730B62F" w14:textId="77777777" w:rsidR="007C736D" w:rsidRDefault="007C736D">
      <w:pPr>
        <w:spacing w:line="360" w:lineRule="auto"/>
        <w:ind w:firstLine="480"/>
        <w:rPr>
          <w:bCs/>
          <w:sz w:val="24"/>
        </w:rPr>
      </w:pPr>
    </w:p>
    <w:p w14:paraId="68D68390" w14:textId="77777777" w:rsidR="007C736D" w:rsidRDefault="00662CFB">
      <w:pPr>
        <w:pStyle w:val="1110"/>
        <w:spacing w:before="0" w:after="0"/>
        <w:jc w:val="center"/>
        <w:rPr>
          <w:rFonts w:ascii="Times New Roman"/>
          <w:b w:val="0"/>
          <w:color w:val="auto"/>
          <w:sz w:val="30"/>
        </w:rPr>
      </w:pPr>
      <w:r>
        <w:rPr>
          <w:rFonts w:ascii="Times New Roman"/>
          <w:b w:val="0"/>
          <w:color w:val="auto"/>
          <w:sz w:val="21"/>
        </w:rPr>
        <w:br w:type="page"/>
      </w:r>
      <w:bookmarkStart w:id="296" w:name="_Toc92662704"/>
      <w:bookmarkStart w:id="297" w:name="_Toc93226145"/>
      <w:bookmarkStart w:id="298" w:name="_Toc139991743"/>
      <w:bookmarkStart w:id="299" w:name="_Toc20102"/>
      <w:bookmarkStart w:id="300" w:name="_Toc29561"/>
      <w:bookmarkStart w:id="301" w:name="_Toc31611"/>
      <w:bookmarkStart w:id="302" w:name="_Toc24474"/>
      <w:bookmarkStart w:id="303" w:name="_Toc136360682"/>
      <w:bookmarkStart w:id="304" w:name="_Toc3054"/>
      <w:bookmarkStart w:id="305" w:name="_Toc25072222"/>
      <w:bookmarkStart w:id="306" w:name="_Toc21642"/>
      <w:bookmarkStart w:id="307" w:name="_Toc26114"/>
      <w:bookmarkStart w:id="308" w:name="_Toc141703893"/>
      <w:bookmarkStart w:id="309" w:name="_Toc32030"/>
      <w:bookmarkStart w:id="310" w:name="_Toc18000"/>
      <w:bookmarkStart w:id="311" w:name="_Toc20782"/>
      <w:bookmarkStart w:id="312" w:name="_Toc128310496"/>
      <w:r>
        <w:rPr>
          <w:rFonts w:ascii="Times New Roman" w:hint="eastAsia"/>
          <w:b w:val="0"/>
          <w:color w:val="auto"/>
          <w:sz w:val="30"/>
        </w:rPr>
        <w:lastRenderedPageBreak/>
        <w:t>第十三部分</w:t>
      </w:r>
      <w:r>
        <w:rPr>
          <w:rFonts w:ascii="Times New Roman" w:hint="eastAsia"/>
          <w:b w:val="0"/>
          <w:color w:val="auto"/>
          <w:sz w:val="30"/>
        </w:rPr>
        <w:t xml:space="preserve"> </w:t>
      </w:r>
      <w:r>
        <w:rPr>
          <w:rFonts w:ascii="Times New Roman"/>
          <w:b w:val="0"/>
          <w:color w:val="auto"/>
          <w:sz w:val="30"/>
        </w:rPr>
        <w:t xml:space="preserve"> </w:t>
      </w:r>
      <w:r>
        <w:rPr>
          <w:rFonts w:ascii="Times New Roman" w:hint="eastAsia"/>
          <w:b w:val="0"/>
          <w:color w:val="auto"/>
          <w:sz w:val="30"/>
        </w:rPr>
        <w:t>基金</w:t>
      </w:r>
      <w:bookmarkEnd w:id="296"/>
      <w:bookmarkEnd w:id="297"/>
      <w:r>
        <w:rPr>
          <w:rFonts w:ascii="Times New Roman" w:hint="eastAsia"/>
          <w:b w:val="0"/>
          <w:color w:val="auto"/>
          <w:sz w:val="30"/>
        </w:rPr>
        <w:t>的财产</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3C71F41F" w14:textId="77777777" w:rsidR="007C736D" w:rsidRDefault="007C736D">
      <w:pPr>
        <w:spacing w:line="360" w:lineRule="auto"/>
        <w:ind w:firstLine="480"/>
        <w:rPr>
          <w:bCs/>
          <w:sz w:val="24"/>
        </w:rPr>
      </w:pPr>
    </w:p>
    <w:p w14:paraId="2B073E40" w14:textId="77777777" w:rsidR="007C736D" w:rsidRDefault="00662CFB">
      <w:pPr>
        <w:spacing w:line="360" w:lineRule="auto"/>
        <w:ind w:firstLine="480"/>
        <w:rPr>
          <w:bCs/>
          <w:sz w:val="24"/>
        </w:rPr>
      </w:pPr>
      <w:r>
        <w:rPr>
          <w:bCs/>
          <w:sz w:val="24"/>
        </w:rPr>
        <w:t>一、基金资产总值</w:t>
      </w:r>
    </w:p>
    <w:p w14:paraId="1D2DC7BC" w14:textId="77777777" w:rsidR="007C736D" w:rsidRDefault="00662CFB">
      <w:pPr>
        <w:spacing w:line="360" w:lineRule="auto"/>
        <w:ind w:firstLine="480"/>
        <w:rPr>
          <w:bCs/>
          <w:sz w:val="24"/>
        </w:rPr>
      </w:pPr>
      <w:r>
        <w:rPr>
          <w:bCs/>
          <w:sz w:val="24"/>
        </w:rPr>
        <w:t>基金资产总值是指</w:t>
      </w:r>
      <w:r>
        <w:rPr>
          <w:rFonts w:hint="eastAsia"/>
          <w:bCs/>
          <w:sz w:val="24"/>
        </w:rPr>
        <w:t>基金拥有的各类有价证券、银行存款本息、基金应收款项及其他资产的价值总和</w:t>
      </w:r>
      <w:r>
        <w:rPr>
          <w:bCs/>
          <w:sz w:val="24"/>
        </w:rPr>
        <w:t>。</w:t>
      </w:r>
    </w:p>
    <w:p w14:paraId="23A96BDB" w14:textId="77777777" w:rsidR="007C736D" w:rsidRDefault="00662CFB">
      <w:pPr>
        <w:spacing w:line="360" w:lineRule="auto"/>
        <w:ind w:firstLine="480"/>
        <w:rPr>
          <w:bCs/>
          <w:sz w:val="24"/>
        </w:rPr>
      </w:pPr>
      <w:r>
        <w:rPr>
          <w:bCs/>
          <w:sz w:val="24"/>
        </w:rPr>
        <w:t>二、基金资产净值</w:t>
      </w:r>
    </w:p>
    <w:p w14:paraId="7E045F29" w14:textId="77777777" w:rsidR="007C736D" w:rsidRDefault="00662CFB">
      <w:pPr>
        <w:spacing w:line="360" w:lineRule="auto"/>
        <w:ind w:firstLine="480"/>
        <w:rPr>
          <w:bCs/>
          <w:sz w:val="24"/>
        </w:rPr>
      </w:pPr>
      <w:r>
        <w:rPr>
          <w:bCs/>
          <w:sz w:val="24"/>
        </w:rPr>
        <w:t>基金资产净值是指基金资产总值减去基金负债后的价值。</w:t>
      </w:r>
    </w:p>
    <w:p w14:paraId="23DA1B96" w14:textId="77777777" w:rsidR="007C736D" w:rsidRDefault="00662CFB">
      <w:pPr>
        <w:spacing w:line="360" w:lineRule="auto"/>
        <w:ind w:firstLine="480"/>
        <w:rPr>
          <w:bCs/>
          <w:sz w:val="24"/>
        </w:rPr>
      </w:pPr>
      <w:r>
        <w:rPr>
          <w:bCs/>
          <w:sz w:val="24"/>
        </w:rPr>
        <w:t>三、基金财产的账户</w:t>
      </w:r>
    </w:p>
    <w:p w14:paraId="204E6A7D" w14:textId="77777777" w:rsidR="007C736D" w:rsidRDefault="00662CFB">
      <w:pPr>
        <w:spacing w:line="360" w:lineRule="auto"/>
        <w:ind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13" w:name="_Hlt88841837"/>
      <w:bookmarkEnd w:id="313"/>
    </w:p>
    <w:p w14:paraId="6C698B0D" w14:textId="77777777" w:rsidR="007C736D" w:rsidRDefault="00662CFB">
      <w:pPr>
        <w:spacing w:line="360" w:lineRule="auto"/>
        <w:ind w:firstLine="480"/>
        <w:rPr>
          <w:bCs/>
          <w:sz w:val="24"/>
        </w:rPr>
      </w:pPr>
      <w:r>
        <w:rPr>
          <w:bCs/>
          <w:sz w:val="24"/>
        </w:rPr>
        <w:t>四、基金财产的保管和处分</w:t>
      </w:r>
      <w:bookmarkStart w:id="314" w:name="_Hlt88900062"/>
      <w:bookmarkEnd w:id="314"/>
    </w:p>
    <w:p w14:paraId="12108B8C" w14:textId="77777777" w:rsidR="007C736D" w:rsidRDefault="00662CFB">
      <w:pPr>
        <w:spacing w:line="360" w:lineRule="auto"/>
        <w:ind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071199A" w14:textId="77777777" w:rsidR="007C736D" w:rsidRDefault="00662CFB">
      <w:pPr>
        <w:spacing w:line="360" w:lineRule="auto"/>
        <w:ind w:firstLine="480"/>
        <w:rPr>
          <w:bCs/>
          <w:sz w:val="24"/>
        </w:rPr>
      </w:pPr>
      <w:r>
        <w:rPr>
          <w:bCs/>
          <w:sz w:val="24"/>
        </w:rPr>
        <w:t>基金管理人、基金托管人因依法解散、被依法撤销或者被依法宣告破产等原因进行清算的，基金财产</w:t>
      </w:r>
      <w:r>
        <w:rPr>
          <w:bCs/>
          <w:sz w:val="24"/>
        </w:rPr>
        <w:t>不属于其清算财产。基金管理人管理运作基金财产所产生的债权，不得与其固有资产产生的债务相互抵销；基金管理人管理运作不同基金的基金财产所产生的债权债务不得相互抵销。</w:t>
      </w:r>
      <w:r>
        <w:rPr>
          <w:rFonts w:hint="eastAsia"/>
          <w:bCs/>
          <w:sz w:val="24"/>
        </w:rPr>
        <w:t>非因基金财产本身承担的债务，不得对基金财产强制执行。</w:t>
      </w:r>
    </w:p>
    <w:p w14:paraId="5A194200" w14:textId="77777777" w:rsidR="007C736D" w:rsidRDefault="00662CFB">
      <w:pPr>
        <w:pStyle w:val="1110"/>
        <w:spacing w:before="0" w:after="0"/>
        <w:jc w:val="center"/>
        <w:rPr>
          <w:rFonts w:ascii="Times New Roman"/>
          <w:b w:val="0"/>
          <w:color w:val="auto"/>
          <w:sz w:val="30"/>
        </w:rPr>
      </w:pPr>
      <w:r>
        <w:rPr>
          <w:rFonts w:ascii="Times New Roman"/>
          <w:b w:val="0"/>
          <w:color w:val="auto"/>
          <w:sz w:val="21"/>
        </w:rPr>
        <w:br w:type="page"/>
      </w:r>
      <w:bookmarkStart w:id="315" w:name="_Toc7802"/>
      <w:bookmarkStart w:id="316" w:name="_Toc31917"/>
      <w:bookmarkStart w:id="317" w:name="_Toc136360683"/>
      <w:bookmarkStart w:id="318" w:name="_Toc27832"/>
      <w:bookmarkStart w:id="319" w:name="_Toc19714"/>
      <w:bookmarkStart w:id="320" w:name="_Toc17782"/>
      <w:bookmarkStart w:id="321" w:name="_Toc25072223"/>
      <w:bookmarkStart w:id="322" w:name="_Toc871"/>
      <w:bookmarkStart w:id="323" w:name="_Toc141703894"/>
      <w:bookmarkStart w:id="324" w:name="_Toc139991744"/>
      <w:r>
        <w:rPr>
          <w:rFonts w:ascii="Times New Roman" w:hint="eastAsia"/>
          <w:b w:val="0"/>
          <w:color w:val="auto"/>
          <w:sz w:val="30"/>
        </w:rPr>
        <w:lastRenderedPageBreak/>
        <w:t>第十四部分</w:t>
      </w:r>
      <w:r>
        <w:rPr>
          <w:rFonts w:ascii="Times New Roman"/>
          <w:b w:val="0"/>
          <w:color w:val="auto"/>
          <w:sz w:val="30"/>
        </w:rPr>
        <w:t xml:space="preserve"> </w:t>
      </w:r>
      <w:r>
        <w:rPr>
          <w:rFonts w:ascii="Times New Roman" w:hint="eastAsia"/>
          <w:b w:val="0"/>
          <w:color w:val="auto"/>
          <w:sz w:val="30"/>
        </w:rPr>
        <w:t xml:space="preserve"> </w:t>
      </w:r>
      <w:r>
        <w:rPr>
          <w:rFonts w:ascii="Times New Roman" w:hint="eastAsia"/>
          <w:b w:val="0"/>
          <w:color w:val="auto"/>
          <w:sz w:val="30"/>
        </w:rPr>
        <w:t>基金资产估值</w:t>
      </w:r>
      <w:bookmarkEnd w:id="315"/>
      <w:bookmarkEnd w:id="316"/>
      <w:bookmarkEnd w:id="317"/>
      <w:bookmarkEnd w:id="318"/>
      <w:bookmarkEnd w:id="319"/>
      <w:bookmarkEnd w:id="320"/>
      <w:bookmarkEnd w:id="321"/>
      <w:bookmarkEnd w:id="322"/>
    </w:p>
    <w:p w14:paraId="57E9D13B" w14:textId="77777777" w:rsidR="007C736D" w:rsidRDefault="007C736D">
      <w:pPr>
        <w:spacing w:line="360" w:lineRule="auto"/>
        <w:ind w:firstLine="480"/>
        <w:rPr>
          <w:bCs/>
          <w:sz w:val="24"/>
        </w:rPr>
      </w:pPr>
    </w:p>
    <w:p w14:paraId="1FBBC66C" w14:textId="77777777" w:rsidR="007C736D" w:rsidRDefault="00662CFB">
      <w:pPr>
        <w:spacing w:line="360" w:lineRule="auto"/>
        <w:ind w:firstLine="480"/>
        <w:rPr>
          <w:bCs/>
          <w:sz w:val="24"/>
        </w:rPr>
      </w:pPr>
      <w:bookmarkStart w:id="325" w:name="_Toc32046"/>
      <w:bookmarkStart w:id="326" w:name="_Toc139991745"/>
      <w:bookmarkStart w:id="327" w:name="_Toc141703895"/>
      <w:bookmarkEnd w:id="323"/>
      <w:bookmarkEnd w:id="324"/>
      <w:r>
        <w:rPr>
          <w:bCs/>
          <w:sz w:val="24"/>
        </w:rPr>
        <w:t>一、估值日</w:t>
      </w:r>
    </w:p>
    <w:p w14:paraId="153C8C02" w14:textId="77777777" w:rsidR="007C736D" w:rsidRDefault="00662CFB">
      <w:pPr>
        <w:spacing w:line="360" w:lineRule="auto"/>
        <w:ind w:firstLine="480"/>
        <w:rPr>
          <w:bCs/>
          <w:sz w:val="24"/>
        </w:rPr>
      </w:pPr>
      <w:r>
        <w:rPr>
          <w:bCs/>
          <w:sz w:val="24"/>
        </w:rPr>
        <w:t>本基金的估值日为本基金相关的证券</w:t>
      </w:r>
      <w:r>
        <w:rPr>
          <w:rFonts w:hint="eastAsia"/>
          <w:bCs/>
          <w:sz w:val="24"/>
        </w:rPr>
        <w:t>、期货</w:t>
      </w:r>
      <w:r>
        <w:rPr>
          <w:bCs/>
          <w:sz w:val="24"/>
        </w:rPr>
        <w:t>交易场所的交易日以及国家法律法规规定需要对外披露基金净值</w:t>
      </w:r>
      <w:r>
        <w:rPr>
          <w:rFonts w:hint="eastAsia"/>
          <w:bCs/>
          <w:sz w:val="24"/>
        </w:rPr>
        <w:t>信息</w:t>
      </w:r>
      <w:r>
        <w:rPr>
          <w:bCs/>
          <w:sz w:val="24"/>
        </w:rPr>
        <w:t>的非交易日。</w:t>
      </w:r>
    </w:p>
    <w:p w14:paraId="5CE1C2C3" w14:textId="77777777" w:rsidR="007C736D" w:rsidRDefault="00662CFB">
      <w:pPr>
        <w:spacing w:line="360" w:lineRule="auto"/>
        <w:ind w:firstLine="480"/>
        <w:rPr>
          <w:bCs/>
          <w:sz w:val="24"/>
        </w:rPr>
      </w:pPr>
      <w:r>
        <w:rPr>
          <w:bCs/>
          <w:sz w:val="24"/>
        </w:rPr>
        <w:t>二、估值对象</w:t>
      </w:r>
    </w:p>
    <w:p w14:paraId="06A2CBB8" w14:textId="77777777" w:rsidR="007C736D" w:rsidRDefault="00662CFB">
      <w:pPr>
        <w:spacing w:line="360" w:lineRule="auto"/>
        <w:ind w:firstLine="480"/>
        <w:rPr>
          <w:bCs/>
          <w:sz w:val="24"/>
        </w:rPr>
      </w:pPr>
      <w:r>
        <w:rPr>
          <w:rFonts w:hint="eastAsia"/>
          <w:bCs/>
          <w:sz w:val="24"/>
        </w:rPr>
        <w:t>基金所拥有的股票、债券、衍生工具和银行存款本息、应收款项、信用衍生品、资产支持证券、其它投资等资产及负债。</w:t>
      </w:r>
    </w:p>
    <w:p w14:paraId="28717586" w14:textId="77777777" w:rsidR="007C736D" w:rsidRDefault="00662CFB">
      <w:pPr>
        <w:spacing w:line="360" w:lineRule="auto"/>
        <w:ind w:firstLine="480"/>
        <w:rPr>
          <w:bCs/>
          <w:sz w:val="24"/>
        </w:rPr>
      </w:pPr>
      <w:r>
        <w:rPr>
          <w:bCs/>
          <w:sz w:val="24"/>
        </w:rPr>
        <w:t>三、</w:t>
      </w:r>
      <w:r>
        <w:rPr>
          <w:rFonts w:hint="eastAsia"/>
          <w:bCs/>
          <w:sz w:val="24"/>
        </w:rPr>
        <w:t>估值原则</w:t>
      </w:r>
    </w:p>
    <w:p w14:paraId="6AC72AC8" w14:textId="77777777" w:rsidR="007C736D" w:rsidRDefault="00662CFB">
      <w:pPr>
        <w:spacing w:line="360" w:lineRule="auto"/>
        <w:ind w:firstLine="480"/>
        <w:rPr>
          <w:bCs/>
          <w:sz w:val="24"/>
        </w:rPr>
      </w:pPr>
      <w:r>
        <w:rPr>
          <w:rFonts w:hint="eastAsia"/>
          <w:bCs/>
          <w:sz w:val="24"/>
        </w:rPr>
        <w:t>基金管</w:t>
      </w:r>
      <w:r>
        <w:rPr>
          <w:rFonts w:hint="eastAsia"/>
          <w:bCs/>
          <w:sz w:val="24"/>
        </w:rPr>
        <w:t>理人在确定相关金融资产和金融负债的公允价值时，应符合《企业会计准则》、监管部门有关规定。</w:t>
      </w:r>
    </w:p>
    <w:p w14:paraId="04CD094B" w14:textId="77777777" w:rsidR="007C736D" w:rsidRDefault="00662CFB">
      <w:pPr>
        <w:spacing w:line="360" w:lineRule="auto"/>
        <w:ind w:firstLine="480"/>
        <w:rPr>
          <w:bCs/>
          <w:sz w:val="24"/>
        </w:rPr>
      </w:pPr>
      <w:r>
        <w:rPr>
          <w:rFonts w:hint="eastAsia"/>
          <w:bCs/>
          <w:sz w:val="24"/>
        </w:rPr>
        <w:t>1</w:t>
      </w:r>
      <w:r>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B7F2B29" w14:textId="77777777" w:rsidR="007C736D" w:rsidRDefault="00662CFB">
      <w:pPr>
        <w:spacing w:line="360" w:lineRule="auto"/>
        <w:ind w:firstLine="480"/>
        <w:rPr>
          <w:bCs/>
          <w:sz w:val="24"/>
        </w:rPr>
      </w:pPr>
      <w:r>
        <w:rPr>
          <w:rFonts w:hint="eastAsia"/>
          <w:bCs/>
          <w:sz w:val="24"/>
        </w:rPr>
        <w:t>与上述投资品种</w:t>
      </w:r>
      <w:r>
        <w:rPr>
          <w:bCs/>
          <w:sz w:val="24"/>
        </w:rPr>
        <w:t>相</w:t>
      </w:r>
      <w:r>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A8C09DE" w14:textId="77777777" w:rsidR="007C736D" w:rsidRDefault="00662CFB">
      <w:pPr>
        <w:spacing w:line="360" w:lineRule="auto"/>
        <w:ind w:firstLine="480"/>
        <w:rPr>
          <w:bCs/>
          <w:sz w:val="24"/>
        </w:rPr>
      </w:pPr>
      <w:r>
        <w:rPr>
          <w:rFonts w:hint="eastAsia"/>
          <w:bCs/>
          <w:sz w:val="24"/>
        </w:rPr>
        <w:t>2</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w:t>
      </w:r>
      <w:r>
        <w:rPr>
          <w:rFonts w:hint="eastAsia"/>
          <w:bCs/>
          <w:sz w:val="24"/>
        </w:rPr>
        <w:t>用不可观察输入值。</w:t>
      </w:r>
    </w:p>
    <w:p w14:paraId="6E4F8E32" w14:textId="77777777" w:rsidR="007C736D" w:rsidRDefault="00662CFB">
      <w:pPr>
        <w:spacing w:line="360" w:lineRule="auto"/>
        <w:ind w:firstLine="480"/>
        <w:rPr>
          <w:bCs/>
          <w:sz w:val="24"/>
        </w:rPr>
      </w:pPr>
      <w:r>
        <w:rPr>
          <w:rFonts w:hint="eastAsia"/>
          <w:bCs/>
          <w:sz w:val="24"/>
        </w:rPr>
        <w:t>3</w:t>
      </w:r>
      <w:r>
        <w:rPr>
          <w:rFonts w:hint="eastAsia"/>
          <w:bCs/>
          <w:sz w:val="24"/>
        </w:rPr>
        <w:t>、如经济环境发生重大变化或证券发行人发生影响证券价格的重大事件，使潜在估值调整对前一估值日的基金资产净值的影响在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14:paraId="1E01951A" w14:textId="77777777" w:rsidR="007C736D" w:rsidRDefault="00662CFB">
      <w:pPr>
        <w:spacing w:line="360" w:lineRule="auto"/>
        <w:ind w:firstLine="480"/>
        <w:rPr>
          <w:bCs/>
          <w:sz w:val="24"/>
        </w:rPr>
      </w:pPr>
      <w:r>
        <w:rPr>
          <w:rFonts w:hint="eastAsia"/>
          <w:bCs/>
          <w:sz w:val="24"/>
        </w:rPr>
        <w:lastRenderedPageBreak/>
        <w:t>四、</w:t>
      </w:r>
      <w:r>
        <w:rPr>
          <w:bCs/>
          <w:sz w:val="24"/>
        </w:rPr>
        <w:t>估值方法</w:t>
      </w:r>
    </w:p>
    <w:p w14:paraId="34CE9B42" w14:textId="77777777" w:rsidR="007C736D" w:rsidRDefault="00662CFB">
      <w:pPr>
        <w:spacing w:line="360" w:lineRule="auto"/>
        <w:ind w:firstLine="480"/>
        <w:rPr>
          <w:bCs/>
          <w:sz w:val="24"/>
        </w:rPr>
      </w:pPr>
      <w:r>
        <w:rPr>
          <w:rFonts w:hint="eastAsia"/>
          <w:bCs/>
          <w:sz w:val="24"/>
        </w:rPr>
        <w:t>1</w:t>
      </w:r>
      <w:r>
        <w:rPr>
          <w:rFonts w:hint="eastAsia"/>
          <w:bCs/>
          <w:sz w:val="24"/>
        </w:rPr>
        <w:t>、证券交易所上市的有价证券的估值</w:t>
      </w:r>
    </w:p>
    <w:p w14:paraId="2C569248" w14:textId="77777777" w:rsidR="007C736D" w:rsidRDefault="00662CFB">
      <w:pPr>
        <w:spacing w:line="360" w:lineRule="auto"/>
        <w:ind w:firstLine="480"/>
        <w:rPr>
          <w:sz w:val="24"/>
        </w:rPr>
      </w:pPr>
      <w:r>
        <w:rPr>
          <w:rFonts w:hint="eastAsia"/>
          <w:bCs/>
          <w:sz w:val="24"/>
        </w:rPr>
        <w:t>（</w:t>
      </w:r>
      <w:r>
        <w:rPr>
          <w:rFonts w:hint="eastAsia"/>
          <w:bCs/>
          <w:sz w:val="24"/>
        </w:rPr>
        <w:t>1</w:t>
      </w:r>
      <w:r>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w:t>
      </w:r>
      <w:r>
        <w:rPr>
          <w:rFonts w:hint="eastAsia"/>
          <w:bCs/>
          <w:sz w:val="24"/>
        </w:rPr>
        <w:t>影响证券价格的重大事件的，可参考类似投资品种的现行市价及重大变化因素，调整最近交易市价，确定公允价格；</w:t>
      </w:r>
    </w:p>
    <w:p w14:paraId="56379D0F" w14:textId="77777777" w:rsidR="007C736D" w:rsidRDefault="00662CFB">
      <w:pPr>
        <w:spacing w:line="360" w:lineRule="auto"/>
        <w:ind w:firstLine="480"/>
        <w:rPr>
          <w:bCs/>
          <w:sz w:val="24"/>
        </w:rPr>
      </w:pPr>
      <w:r>
        <w:rPr>
          <w:rFonts w:hint="eastAsia"/>
          <w:bCs/>
          <w:sz w:val="24"/>
        </w:rPr>
        <w:t>（</w:t>
      </w:r>
      <w:r>
        <w:rPr>
          <w:bCs/>
          <w:sz w:val="24"/>
        </w:rPr>
        <w:t>2</w:t>
      </w:r>
      <w:r>
        <w:rPr>
          <w:rFonts w:hint="eastAsia"/>
          <w:bCs/>
          <w:sz w:val="24"/>
        </w:rPr>
        <w:t>）交易所上市交易或挂牌转让的不含权固定收益品种，选取估值日第三方估值基准服务机构提供的相应品种当日的估值</w:t>
      </w:r>
      <w:r>
        <w:rPr>
          <w:rFonts w:hint="eastAsia"/>
          <w:sz w:val="24"/>
        </w:rPr>
        <w:t>全</w:t>
      </w:r>
      <w:r>
        <w:rPr>
          <w:rFonts w:hint="eastAsia"/>
          <w:bCs/>
          <w:sz w:val="24"/>
        </w:rPr>
        <w:t>价进行估值；</w:t>
      </w:r>
    </w:p>
    <w:p w14:paraId="307D85AD" w14:textId="77777777" w:rsidR="007C736D" w:rsidRDefault="00662CFB">
      <w:pPr>
        <w:spacing w:line="360" w:lineRule="auto"/>
        <w:ind w:firstLine="480"/>
        <w:rPr>
          <w:bCs/>
          <w:sz w:val="24"/>
        </w:rPr>
      </w:pPr>
      <w:r>
        <w:rPr>
          <w:rFonts w:hint="eastAsia"/>
          <w:bCs/>
          <w:sz w:val="24"/>
        </w:rPr>
        <w:t>（</w:t>
      </w:r>
      <w:r>
        <w:rPr>
          <w:bCs/>
          <w:sz w:val="24"/>
        </w:rPr>
        <w:t>3</w:t>
      </w:r>
      <w:r>
        <w:rPr>
          <w:rFonts w:hint="eastAsia"/>
          <w:bCs/>
          <w:sz w:val="24"/>
        </w:rPr>
        <w:t>）交易所上市交易或挂牌转让的含权固定收益品种，选取估值日第三方估值</w:t>
      </w:r>
      <w:r>
        <w:rPr>
          <w:rFonts w:hint="eastAsia"/>
          <w:sz w:val="24"/>
        </w:rPr>
        <w:t>基准服务</w:t>
      </w:r>
      <w:r>
        <w:rPr>
          <w:rFonts w:hint="eastAsia"/>
          <w:bCs/>
          <w:sz w:val="24"/>
        </w:rPr>
        <w:t>机构提供的相应品种当日的唯一估值</w:t>
      </w:r>
      <w:r>
        <w:rPr>
          <w:rFonts w:hint="eastAsia"/>
          <w:sz w:val="24"/>
        </w:rPr>
        <w:t>全</w:t>
      </w:r>
      <w:r>
        <w:rPr>
          <w:rFonts w:hint="eastAsia"/>
          <w:bCs/>
          <w:sz w:val="24"/>
        </w:rPr>
        <w:t>价或推荐估值</w:t>
      </w:r>
      <w:r>
        <w:rPr>
          <w:rFonts w:hint="eastAsia"/>
          <w:sz w:val="24"/>
        </w:rPr>
        <w:t>全</w:t>
      </w:r>
      <w:r>
        <w:rPr>
          <w:rFonts w:hint="eastAsia"/>
          <w:bCs/>
          <w:sz w:val="24"/>
        </w:rPr>
        <w:t>价进行估值；</w:t>
      </w:r>
    </w:p>
    <w:p w14:paraId="38AF3235" w14:textId="77777777" w:rsidR="007C736D" w:rsidRDefault="00662CFB">
      <w:pPr>
        <w:spacing w:line="360" w:lineRule="auto"/>
        <w:ind w:firstLineChars="200" w:firstLine="480"/>
        <w:rPr>
          <w:sz w:val="24"/>
        </w:rPr>
      </w:pPr>
      <w:r>
        <w:rPr>
          <w:rFonts w:hint="eastAsia"/>
          <w:sz w:val="24"/>
        </w:rPr>
        <w:t>对于含投资者回售权的固定收益品种，行使回售权的，在回售登记日至实际收款日期间选取第三方估值基准服务机构提供的相应品种的唯一估值全价或推荐估值全价</w:t>
      </w:r>
      <w:r>
        <w:rPr>
          <w:rFonts w:hint="eastAsia"/>
          <w:sz w:val="24"/>
        </w:rPr>
        <w:t>，同时应充分考虑发行人的信用风险变化对公允价值的影响。回售登记期截止日（含当日）后未行使回售权的按照长待偿期所对应的价格进行估值。</w:t>
      </w:r>
    </w:p>
    <w:p w14:paraId="6BF9B13C" w14:textId="77777777" w:rsidR="007C736D" w:rsidRDefault="00662CFB">
      <w:pPr>
        <w:spacing w:line="360" w:lineRule="auto"/>
        <w:ind w:firstLine="480"/>
        <w:rPr>
          <w:bCs/>
          <w:sz w:val="24"/>
        </w:rPr>
      </w:pPr>
      <w:r>
        <w:rPr>
          <w:rFonts w:hint="eastAsia"/>
          <w:bCs/>
          <w:sz w:val="24"/>
        </w:rPr>
        <w:t>（</w:t>
      </w:r>
      <w:r>
        <w:rPr>
          <w:bCs/>
          <w:sz w:val="24"/>
        </w:rPr>
        <w:t>4</w:t>
      </w:r>
      <w:r>
        <w:rPr>
          <w:rFonts w:hint="eastAsia"/>
          <w:bCs/>
          <w:sz w:val="24"/>
        </w:rPr>
        <w:t>）</w:t>
      </w:r>
      <w:r>
        <w:rPr>
          <w:rFonts w:hint="eastAsia"/>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68A72DAD" w14:textId="77777777" w:rsidR="007C736D" w:rsidRDefault="00662CFB">
      <w:pPr>
        <w:spacing w:line="360" w:lineRule="auto"/>
        <w:ind w:firstLine="480"/>
        <w:rPr>
          <w:bCs/>
          <w:sz w:val="24"/>
        </w:rPr>
      </w:pPr>
      <w:r>
        <w:rPr>
          <w:rFonts w:hint="eastAsia"/>
          <w:bCs/>
          <w:sz w:val="24"/>
        </w:rPr>
        <w:t>（</w:t>
      </w:r>
      <w:r>
        <w:rPr>
          <w:bCs/>
          <w:sz w:val="24"/>
        </w:rPr>
        <w:t>5</w:t>
      </w:r>
      <w:r>
        <w:rPr>
          <w:rFonts w:hint="eastAsia"/>
          <w:bCs/>
          <w:sz w:val="24"/>
        </w:rPr>
        <w:t>）交易所上市不存在活跃市场的有价证券，采用估值技术确定公允价值；</w:t>
      </w:r>
    </w:p>
    <w:p w14:paraId="562697BB" w14:textId="77777777" w:rsidR="007C736D" w:rsidRDefault="00662CFB">
      <w:pPr>
        <w:spacing w:line="360" w:lineRule="auto"/>
        <w:ind w:firstLine="480"/>
        <w:rPr>
          <w:bCs/>
          <w:sz w:val="24"/>
        </w:rPr>
      </w:pPr>
      <w:r>
        <w:rPr>
          <w:rFonts w:hint="eastAsia"/>
          <w:bCs/>
          <w:sz w:val="24"/>
        </w:rPr>
        <w:t>（</w:t>
      </w:r>
      <w:r>
        <w:rPr>
          <w:bCs/>
          <w:sz w:val="24"/>
        </w:rPr>
        <w:t>6</w:t>
      </w:r>
      <w:r>
        <w:rPr>
          <w:rFonts w:hint="eastAsia"/>
          <w:bCs/>
          <w:sz w:val="24"/>
        </w:rPr>
        <w:t>）</w:t>
      </w:r>
      <w:r>
        <w:rPr>
          <w:rFonts w:hint="eastAsia"/>
          <w:sz w:val="24"/>
        </w:rPr>
        <w:t>对于交易所未上市或未挂牌转让且不存在活跃市场的固定收益品种，采用在当前情况下适用并且有足够可利用数据和其他信息支持的估值技术确定其公允价值。</w:t>
      </w:r>
    </w:p>
    <w:p w14:paraId="610AB746" w14:textId="77777777" w:rsidR="007C736D" w:rsidRDefault="00662CFB">
      <w:pPr>
        <w:spacing w:line="360" w:lineRule="auto"/>
        <w:ind w:firstLine="480"/>
        <w:rPr>
          <w:bCs/>
          <w:sz w:val="24"/>
        </w:rPr>
      </w:pPr>
      <w:r>
        <w:rPr>
          <w:bCs/>
          <w:sz w:val="24"/>
        </w:rPr>
        <w:t>2</w:t>
      </w:r>
      <w:r>
        <w:rPr>
          <w:rFonts w:hint="eastAsia"/>
          <w:bCs/>
          <w:sz w:val="24"/>
        </w:rPr>
        <w:t>、处于未上市期间的有价证券应区分如下情况处理：</w:t>
      </w:r>
    </w:p>
    <w:p w14:paraId="65ADFACB" w14:textId="77777777" w:rsidR="007C736D" w:rsidRDefault="00662CFB">
      <w:pPr>
        <w:spacing w:line="360" w:lineRule="auto"/>
        <w:ind w:firstLine="480"/>
        <w:rPr>
          <w:bCs/>
          <w:sz w:val="24"/>
        </w:rPr>
      </w:pPr>
      <w:r>
        <w:rPr>
          <w:rFonts w:hint="eastAsia"/>
          <w:bCs/>
          <w:sz w:val="24"/>
        </w:rPr>
        <w:t>（</w:t>
      </w:r>
      <w:r>
        <w:rPr>
          <w:bCs/>
          <w:sz w:val="24"/>
        </w:rPr>
        <w:t>1</w:t>
      </w:r>
      <w:r>
        <w:rPr>
          <w:rFonts w:hint="eastAsia"/>
          <w:bCs/>
          <w:sz w:val="24"/>
        </w:rPr>
        <w:t>）送股、转增股、配股和公开增发的新股，按估值日在证券交易所挂牌的同一股票的估值方法估值；该日无交易的，以最近一日的市价（收盘价）估值；</w:t>
      </w:r>
    </w:p>
    <w:p w14:paraId="7EE80C81" w14:textId="77777777" w:rsidR="007C736D" w:rsidRDefault="00662CFB">
      <w:pPr>
        <w:spacing w:line="360" w:lineRule="auto"/>
        <w:ind w:firstLine="480"/>
        <w:rPr>
          <w:bCs/>
          <w:sz w:val="24"/>
        </w:rPr>
      </w:pPr>
      <w:r>
        <w:rPr>
          <w:rFonts w:hint="eastAsia"/>
          <w:bCs/>
          <w:sz w:val="24"/>
        </w:rPr>
        <w:lastRenderedPageBreak/>
        <w:t>（</w:t>
      </w:r>
      <w:r>
        <w:rPr>
          <w:bCs/>
          <w:sz w:val="24"/>
        </w:rPr>
        <w:t>2</w:t>
      </w:r>
      <w:r>
        <w:rPr>
          <w:rFonts w:hint="eastAsia"/>
          <w:bCs/>
          <w:sz w:val="24"/>
        </w:rPr>
        <w:t>）首次公开发行未上市的股票，采用估值技术确定公允价值；</w:t>
      </w:r>
    </w:p>
    <w:p w14:paraId="4DE626A1" w14:textId="77777777" w:rsidR="007C736D" w:rsidRDefault="00662CFB">
      <w:pPr>
        <w:spacing w:line="360" w:lineRule="auto"/>
        <w:ind w:firstLine="480"/>
        <w:rPr>
          <w:bCs/>
          <w:sz w:val="24"/>
        </w:rPr>
      </w:pPr>
      <w:r>
        <w:rPr>
          <w:rFonts w:hint="eastAsia"/>
          <w:bCs/>
          <w:sz w:val="24"/>
        </w:rPr>
        <w:t>（</w:t>
      </w:r>
      <w:r>
        <w:rPr>
          <w:bCs/>
          <w:sz w:val="24"/>
        </w:rPr>
        <w:t>3</w:t>
      </w:r>
      <w:r>
        <w:rPr>
          <w:rFonts w:hint="eastAsia"/>
          <w:bCs/>
          <w:sz w:val="24"/>
        </w:rPr>
        <w:t>）在发行时明确一定期限限售期的股票，包括但不限于非公开发行股票、首次公开发行股票时公司股东公开发售股份、通过大宗交易</w:t>
      </w:r>
      <w:r>
        <w:rPr>
          <w:rFonts w:hint="eastAsia"/>
          <w:bCs/>
          <w:sz w:val="24"/>
        </w:rPr>
        <w:t>取得的带限售期的股票等，不包括停牌、新发行未上市、回购交易中的质押券等流通受限股票，按监管机构或行业协会有关规定确定公允价值。</w:t>
      </w:r>
    </w:p>
    <w:p w14:paraId="3AE09AE3" w14:textId="77777777" w:rsidR="007C736D" w:rsidRDefault="00662CFB">
      <w:pPr>
        <w:spacing w:line="360" w:lineRule="auto"/>
        <w:ind w:firstLine="480"/>
        <w:rPr>
          <w:sz w:val="24"/>
        </w:rPr>
      </w:pPr>
      <w:r>
        <w:rPr>
          <w:bCs/>
          <w:sz w:val="24"/>
        </w:rPr>
        <w:t>3</w:t>
      </w:r>
      <w:r>
        <w:rPr>
          <w:rFonts w:hint="eastAsia"/>
          <w:bCs/>
          <w:sz w:val="24"/>
        </w:rPr>
        <w:t>、对全国银行间市场上不含权的固定收益品种，按照第三方估值基准服务机构提供的相应品种当日的估值</w:t>
      </w:r>
      <w:r>
        <w:rPr>
          <w:rFonts w:hint="eastAsia"/>
          <w:sz w:val="24"/>
        </w:rPr>
        <w:t>全</w:t>
      </w:r>
      <w:r>
        <w:rPr>
          <w:rFonts w:hint="eastAsia"/>
          <w:bCs/>
          <w:sz w:val="24"/>
        </w:rPr>
        <w:t>价估值。</w:t>
      </w:r>
      <w:r>
        <w:rPr>
          <w:rFonts w:hint="eastAsia"/>
          <w:sz w:val="24"/>
        </w:rPr>
        <w:t>对于银行间市场上含权固定收益品种，按照第三方估值基准服务机构提供的相应品种当日的唯一估值全价或推荐估值全价估值；对于银行间市场上含投资者回售权的固定收益品种，行使回售权的，在回售登记日至实际收款日期间按照第三方估值基准服务机构提供的相应品种的唯一估值全价或推荐估值全价估值，同时充</w:t>
      </w:r>
      <w:r>
        <w:rPr>
          <w:rFonts w:hint="eastAsia"/>
          <w:sz w:val="24"/>
        </w:rPr>
        <w:t>分考虑发行人的信用风险变化对公允价值的影响。回售登记期截止日（含当日）后未行使回售权的按照长待偿期所对应的价格进行估值。</w:t>
      </w:r>
    </w:p>
    <w:p w14:paraId="22768002" w14:textId="77777777" w:rsidR="007C736D" w:rsidRDefault="00662CFB">
      <w:pPr>
        <w:spacing w:line="360" w:lineRule="auto"/>
        <w:ind w:firstLine="480"/>
        <w:rPr>
          <w:bCs/>
          <w:sz w:val="24"/>
        </w:rPr>
      </w:pPr>
      <w:r>
        <w:rPr>
          <w:rFonts w:hint="eastAsia"/>
          <w:bCs/>
          <w:sz w:val="24"/>
        </w:rPr>
        <w:t>对于未上市或未挂牌转让且不存在活跃市场的固定收益品种，应采用在当前情况下适用并且有足够可利用数据和其他信息支持的估值技术确定其公允价值。</w:t>
      </w:r>
    </w:p>
    <w:p w14:paraId="072DFE8F" w14:textId="77777777" w:rsidR="007C736D" w:rsidRDefault="00662CFB">
      <w:pPr>
        <w:spacing w:line="360" w:lineRule="auto"/>
        <w:ind w:firstLine="480"/>
        <w:rPr>
          <w:bCs/>
          <w:sz w:val="24"/>
        </w:rPr>
      </w:pPr>
      <w:r>
        <w:rPr>
          <w:rFonts w:hint="eastAsia"/>
          <w:sz w:val="24"/>
        </w:rPr>
        <w:t>4</w:t>
      </w:r>
      <w:r>
        <w:rPr>
          <w:rFonts w:hint="eastAsia"/>
          <w:sz w:val="24"/>
        </w:rPr>
        <w:t>、</w:t>
      </w:r>
      <w:r>
        <w:rPr>
          <w:rFonts w:ascii="Luxi Sans" w:cs="@仿宋_GB2312" w:hint="eastAsia"/>
          <w:sz w:val="24"/>
        </w:rPr>
        <w:t>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w:t>
      </w:r>
      <w:r>
        <w:rPr>
          <w:rFonts w:ascii="Luxi Sans" w:cs="@仿宋_GB2312" w:hint="eastAsia"/>
          <w:sz w:val="24"/>
        </w:rPr>
        <w:t>基金托管人协商一致后，可采用价格区间中的数据作为该债券投资品种的公允价值。</w:t>
      </w:r>
    </w:p>
    <w:p w14:paraId="002C28E2" w14:textId="77777777" w:rsidR="007C736D" w:rsidRDefault="00662CFB">
      <w:pPr>
        <w:spacing w:line="360" w:lineRule="auto"/>
        <w:ind w:firstLine="480"/>
        <w:rPr>
          <w:bCs/>
          <w:sz w:val="24"/>
        </w:rPr>
      </w:pPr>
      <w:r>
        <w:rPr>
          <w:rFonts w:hint="eastAsia"/>
          <w:bCs/>
          <w:sz w:val="24"/>
        </w:rPr>
        <w:t>5</w:t>
      </w:r>
      <w:r>
        <w:rPr>
          <w:rFonts w:hint="eastAsia"/>
          <w:bCs/>
          <w:sz w:val="24"/>
        </w:rPr>
        <w:t>、本基金投资期货合约，一般以估值当日结算价进行估值，估值当日无结算价的，且最近交易日后经济环境未发生重大变化的，采用最近交易日结算价估值。</w:t>
      </w:r>
    </w:p>
    <w:p w14:paraId="5681AA02" w14:textId="77777777" w:rsidR="007C736D" w:rsidRDefault="00662CFB">
      <w:pPr>
        <w:spacing w:line="360" w:lineRule="auto"/>
        <w:ind w:firstLine="480"/>
        <w:rPr>
          <w:bCs/>
          <w:sz w:val="24"/>
        </w:rPr>
      </w:pPr>
      <w:r>
        <w:rPr>
          <w:rFonts w:hint="eastAsia"/>
          <w:bCs/>
          <w:sz w:val="24"/>
        </w:rPr>
        <w:t>6</w:t>
      </w:r>
      <w:r>
        <w:rPr>
          <w:rFonts w:hint="eastAsia"/>
          <w:bCs/>
          <w:sz w:val="24"/>
        </w:rPr>
        <w:t>、存款的估值方法</w:t>
      </w:r>
    </w:p>
    <w:p w14:paraId="6C0D1671" w14:textId="77777777" w:rsidR="007C736D" w:rsidRDefault="00662CFB">
      <w:pPr>
        <w:autoSpaceDE w:val="0"/>
        <w:autoSpaceDN w:val="0"/>
        <w:adjustRightInd w:val="0"/>
        <w:spacing w:line="360" w:lineRule="auto"/>
        <w:ind w:firstLineChars="200" w:firstLine="480"/>
        <w:jc w:val="left"/>
        <w:rPr>
          <w:sz w:val="24"/>
        </w:rPr>
      </w:pPr>
      <w:r>
        <w:rPr>
          <w:rFonts w:hint="eastAsia"/>
          <w:sz w:val="24"/>
        </w:rPr>
        <w:t>持有的银行定期存款或通知存款按实际利率法逐日确认利息收入。</w:t>
      </w:r>
    </w:p>
    <w:p w14:paraId="651FA73F" w14:textId="77777777" w:rsidR="007C736D" w:rsidRDefault="00662CFB">
      <w:pPr>
        <w:spacing w:line="360" w:lineRule="auto"/>
        <w:ind w:firstLine="480"/>
        <w:rPr>
          <w:bCs/>
          <w:sz w:val="24"/>
        </w:rPr>
      </w:pPr>
      <w:r>
        <w:rPr>
          <w:rFonts w:hint="eastAsia"/>
          <w:bCs/>
          <w:sz w:val="24"/>
        </w:rPr>
        <w:t>7</w:t>
      </w:r>
      <w:r>
        <w:rPr>
          <w:rFonts w:hint="eastAsia"/>
          <w:bCs/>
          <w:sz w:val="24"/>
        </w:rPr>
        <w:t>、同一证券同时在两个或两个以上市场交易的，按证券所处的市场分别估值。</w:t>
      </w:r>
    </w:p>
    <w:p w14:paraId="703BD7C4" w14:textId="77777777" w:rsidR="007C736D" w:rsidRDefault="00662CFB">
      <w:pPr>
        <w:spacing w:line="360" w:lineRule="auto"/>
        <w:ind w:firstLine="480"/>
        <w:rPr>
          <w:bCs/>
          <w:sz w:val="24"/>
        </w:rPr>
      </w:pPr>
      <w:r>
        <w:rPr>
          <w:rFonts w:hint="eastAsia"/>
          <w:bCs/>
          <w:sz w:val="24"/>
        </w:rPr>
        <w:t>8</w:t>
      </w:r>
      <w:r>
        <w:rPr>
          <w:rFonts w:hint="eastAsia"/>
          <w:bCs/>
          <w:sz w:val="24"/>
        </w:rPr>
        <w:t>、本基金投资股票期权，根据相关法律法规以及监管部门的规定估值。</w:t>
      </w:r>
    </w:p>
    <w:p w14:paraId="32E54D3E" w14:textId="77777777" w:rsidR="007C736D" w:rsidRDefault="00662CFB">
      <w:pPr>
        <w:spacing w:line="360" w:lineRule="auto"/>
        <w:ind w:firstLine="480"/>
        <w:rPr>
          <w:bCs/>
          <w:sz w:val="24"/>
        </w:rPr>
      </w:pPr>
      <w:r>
        <w:rPr>
          <w:rFonts w:hint="eastAsia"/>
          <w:bCs/>
          <w:sz w:val="24"/>
        </w:rPr>
        <w:lastRenderedPageBreak/>
        <w:t>9</w:t>
      </w:r>
      <w:r>
        <w:rPr>
          <w:rFonts w:hint="eastAsia"/>
          <w:bCs/>
          <w:sz w:val="24"/>
        </w:rPr>
        <w:t>、信用衍生品按第三方估值基准服务机构提供的当日的估值价格进行估值，但管理人依法应当承担的估值责任不因委托而免除；选定的第三方估值基准服务机构未提供估值价格的，依照有关法律法规及《企业会计准则》要求采用合理估值技术确定公允价值。</w:t>
      </w:r>
    </w:p>
    <w:p w14:paraId="51C1C007" w14:textId="77777777" w:rsidR="007C736D" w:rsidRDefault="00662CFB">
      <w:pPr>
        <w:spacing w:line="360" w:lineRule="auto"/>
        <w:ind w:firstLine="480"/>
        <w:rPr>
          <w:bCs/>
          <w:sz w:val="24"/>
        </w:rPr>
      </w:pPr>
      <w:bookmarkStart w:id="328" w:name="_Hlk60133276"/>
      <w:r>
        <w:rPr>
          <w:rFonts w:hint="eastAsia"/>
          <w:bCs/>
          <w:sz w:val="24"/>
        </w:rPr>
        <w:t>10</w:t>
      </w:r>
      <w:r>
        <w:rPr>
          <w:rFonts w:hint="eastAsia"/>
          <w:bCs/>
          <w:sz w:val="24"/>
        </w:rPr>
        <w:t>、本基金投资存托凭证的估值核算，依照境内上市交易的股票执行。</w:t>
      </w:r>
      <w:bookmarkEnd w:id="328"/>
    </w:p>
    <w:p w14:paraId="1DDFA449" w14:textId="77777777" w:rsidR="007C736D" w:rsidRDefault="00662CFB">
      <w:pPr>
        <w:spacing w:line="360" w:lineRule="auto"/>
        <w:ind w:firstLine="480"/>
        <w:rPr>
          <w:bCs/>
          <w:sz w:val="24"/>
        </w:rPr>
      </w:pPr>
      <w:r>
        <w:rPr>
          <w:rFonts w:hint="eastAsia"/>
          <w:bCs/>
          <w:sz w:val="24"/>
        </w:rPr>
        <w:t>11</w:t>
      </w:r>
      <w:r>
        <w:rPr>
          <w:rFonts w:hint="eastAsia"/>
          <w:bCs/>
          <w:sz w:val="24"/>
        </w:rPr>
        <w:t>、税收</w:t>
      </w:r>
    </w:p>
    <w:p w14:paraId="6DD9F222" w14:textId="77777777" w:rsidR="007C736D" w:rsidRDefault="00662CFB">
      <w:pPr>
        <w:spacing w:line="360" w:lineRule="auto"/>
        <w:ind w:firstLine="480"/>
        <w:rPr>
          <w:bCs/>
          <w:sz w:val="24"/>
        </w:rPr>
      </w:pPr>
      <w:r>
        <w:rPr>
          <w:rFonts w:hint="eastAsia"/>
          <w:bCs/>
          <w:sz w:val="24"/>
        </w:rPr>
        <w:t>对于按照中国法律法规和基金投资</w:t>
      </w:r>
      <w:r>
        <w:rPr>
          <w:rFonts w:hint="eastAsia"/>
          <w:bCs/>
          <w:sz w:val="24"/>
        </w:rPr>
        <w:t>境内外股票市场交易互联互通机制涉及的境外交易场所</w:t>
      </w:r>
      <w:r>
        <w:rPr>
          <w:rFonts w:hint="eastAsia"/>
          <w:bCs/>
          <w:sz w:val="24"/>
        </w:rPr>
        <w:t>所在地的法律法规规定应交纳的各项税金，本基金将按权责发生制原则进行估值；对于因税收规定调整或其他原因导致基金实际交纳税金与估算</w:t>
      </w:r>
      <w:r>
        <w:rPr>
          <w:rFonts w:hint="eastAsia"/>
          <w:bCs/>
          <w:sz w:val="24"/>
        </w:rPr>
        <w:t>的应交税金有差异的，基金将在相关税金调整日或实际支付日进行相应的估值调整。</w:t>
      </w:r>
    </w:p>
    <w:p w14:paraId="0E9A5C81" w14:textId="77777777" w:rsidR="007C736D" w:rsidRDefault="00662CFB">
      <w:pPr>
        <w:spacing w:line="360" w:lineRule="auto"/>
        <w:ind w:firstLine="480"/>
        <w:rPr>
          <w:bCs/>
          <w:sz w:val="24"/>
        </w:rPr>
      </w:pPr>
      <w:r>
        <w:rPr>
          <w:rFonts w:hint="eastAsia"/>
          <w:bCs/>
          <w:sz w:val="24"/>
        </w:rPr>
        <w:t>12</w:t>
      </w:r>
      <w:r>
        <w:rPr>
          <w:rFonts w:hint="eastAsia"/>
          <w:bCs/>
          <w:sz w:val="24"/>
        </w:rPr>
        <w:t>、</w:t>
      </w:r>
      <w:r>
        <w:rPr>
          <w:rFonts w:hint="eastAsia"/>
          <w:bCs/>
          <w:sz w:val="24"/>
        </w:rPr>
        <w:t xml:space="preserve"> </w:t>
      </w:r>
      <w:r>
        <w:rPr>
          <w:rFonts w:hint="eastAsia"/>
          <w:bCs/>
          <w:sz w:val="24"/>
        </w:rPr>
        <w:t>估值计算中涉及港币对人民币汇率的，将依据下列信息提供机构所提供的汇率为基准：当日中国人民银行或其授权机构公布的人民币与港币的中间价。</w:t>
      </w:r>
    </w:p>
    <w:p w14:paraId="11759EE6" w14:textId="77777777" w:rsidR="007C736D" w:rsidRDefault="00662CFB">
      <w:pPr>
        <w:spacing w:line="360" w:lineRule="auto"/>
        <w:ind w:firstLine="480"/>
        <w:rPr>
          <w:bCs/>
          <w:sz w:val="24"/>
        </w:rPr>
      </w:pPr>
      <w:r>
        <w:rPr>
          <w:rFonts w:hint="eastAsia"/>
          <w:bCs/>
          <w:sz w:val="24"/>
        </w:rPr>
        <w:t>13</w:t>
      </w:r>
      <w:r>
        <w:rPr>
          <w:rFonts w:hint="eastAsia"/>
          <w:bCs/>
          <w:sz w:val="24"/>
        </w:rPr>
        <w:t>、</w:t>
      </w:r>
      <w:r>
        <w:rPr>
          <w:bCs/>
          <w:sz w:val="24"/>
        </w:rPr>
        <w:t>如有确凿证据表明按上述方法进行估值不能客观反映其公允价值的，基金管理人可根据具体情况与基金托管人商定后，按最能反映公允价值的价格估值。</w:t>
      </w:r>
    </w:p>
    <w:p w14:paraId="23E634DA" w14:textId="77777777" w:rsidR="007C736D" w:rsidRDefault="00662CFB">
      <w:pPr>
        <w:spacing w:line="360" w:lineRule="auto"/>
        <w:ind w:firstLine="480"/>
        <w:rPr>
          <w:bCs/>
          <w:sz w:val="24"/>
        </w:rPr>
      </w:pPr>
      <w:r>
        <w:rPr>
          <w:rFonts w:hint="eastAsia"/>
          <w:bCs/>
          <w:sz w:val="24"/>
        </w:rPr>
        <w:t>14</w:t>
      </w:r>
      <w:r>
        <w:rPr>
          <w:bCs/>
          <w:sz w:val="24"/>
        </w:rPr>
        <w:t>、</w:t>
      </w:r>
      <w:r>
        <w:rPr>
          <w:rFonts w:hint="eastAsia"/>
          <w:bCs/>
          <w:sz w:val="24"/>
        </w:rPr>
        <w:t>当发生大额申购或赎回情形时，基金管理人可以采用摆动定价机制，以确保基金估值的公平性。</w:t>
      </w:r>
    </w:p>
    <w:p w14:paraId="5596DD94" w14:textId="77777777" w:rsidR="007C736D" w:rsidRDefault="00662CFB">
      <w:pPr>
        <w:spacing w:line="360" w:lineRule="auto"/>
        <w:ind w:firstLine="480"/>
        <w:rPr>
          <w:bCs/>
          <w:sz w:val="24"/>
        </w:rPr>
      </w:pPr>
      <w:r>
        <w:rPr>
          <w:bCs/>
          <w:sz w:val="24"/>
        </w:rPr>
        <w:t>1</w:t>
      </w:r>
      <w:r>
        <w:rPr>
          <w:rFonts w:hint="eastAsia"/>
          <w:bCs/>
          <w:sz w:val="24"/>
        </w:rPr>
        <w:t>5</w:t>
      </w:r>
      <w:r>
        <w:rPr>
          <w:rFonts w:hint="eastAsia"/>
          <w:bCs/>
          <w:sz w:val="24"/>
        </w:rPr>
        <w:t>、</w:t>
      </w:r>
      <w:r>
        <w:rPr>
          <w:bCs/>
          <w:sz w:val="24"/>
        </w:rPr>
        <w:t>相关法律法规以及监管部门有强制规定的，从其规定。如有新</w:t>
      </w:r>
      <w:r>
        <w:rPr>
          <w:bCs/>
          <w:sz w:val="24"/>
        </w:rPr>
        <w:t>增事项，按国家最新规定估值。</w:t>
      </w:r>
    </w:p>
    <w:p w14:paraId="39DE06E1" w14:textId="77777777" w:rsidR="007C736D" w:rsidRDefault="00662CFB">
      <w:pPr>
        <w:spacing w:line="360" w:lineRule="auto"/>
        <w:ind w:firstLine="480"/>
        <w:rPr>
          <w:sz w:val="24"/>
        </w:rPr>
      </w:pPr>
      <w:r>
        <w:rPr>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E0F1837" w14:textId="77777777" w:rsidR="007C736D" w:rsidRDefault="00662CFB">
      <w:pPr>
        <w:spacing w:line="360" w:lineRule="auto"/>
        <w:ind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Pr>
          <w:rFonts w:hint="eastAsia"/>
          <w:bCs/>
          <w:sz w:val="24"/>
        </w:rPr>
        <w:t>基金管理人向基金托管人出具盖章的书面说明后，</w:t>
      </w:r>
      <w:r>
        <w:rPr>
          <w:bCs/>
          <w:sz w:val="24"/>
        </w:rPr>
        <w:t>按照基金管理人对基金净值</w:t>
      </w:r>
      <w:r>
        <w:rPr>
          <w:rFonts w:hint="eastAsia"/>
          <w:bCs/>
          <w:sz w:val="24"/>
        </w:rPr>
        <w:t>信息</w:t>
      </w:r>
      <w:r>
        <w:rPr>
          <w:bCs/>
          <w:sz w:val="24"/>
        </w:rPr>
        <w:t>的计算结果对外予以公布。</w:t>
      </w:r>
    </w:p>
    <w:p w14:paraId="50269A84" w14:textId="77777777" w:rsidR="007C736D" w:rsidRDefault="00662CFB">
      <w:pPr>
        <w:spacing w:line="360" w:lineRule="auto"/>
        <w:ind w:firstLine="480"/>
        <w:rPr>
          <w:bCs/>
          <w:sz w:val="24"/>
        </w:rPr>
      </w:pPr>
      <w:r>
        <w:rPr>
          <w:rFonts w:hint="eastAsia"/>
          <w:bCs/>
          <w:sz w:val="24"/>
        </w:rPr>
        <w:lastRenderedPageBreak/>
        <w:t>五</w:t>
      </w:r>
      <w:r>
        <w:rPr>
          <w:bCs/>
          <w:sz w:val="24"/>
        </w:rPr>
        <w:t>、估值程</w:t>
      </w:r>
      <w:r>
        <w:rPr>
          <w:bCs/>
          <w:sz w:val="24"/>
        </w:rPr>
        <w:t>序</w:t>
      </w:r>
    </w:p>
    <w:p w14:paraId="434655D1" w14:textId="77777777" w:rsidR="007C736D" w:rsidRDefault="00662CFB">
      <w:pPr>
        <w:spacing w:line="360" w:lineRule="auto"/>
        <w:ind w:firstLine="480"/>
        <w:rPr>
          <w:bCs/>
          <w:sz w:val="24"/>
        </w:rPr>
      </w:pPr>
      <w:r>
        <w:rPr>
          <w:bCs/>
          <w:sz w:val="24"/>
        </w:rPr>
        <w:t>1</w:t>
      </w:r>
      <w:r>
        <w:rPr>
          <w:bCs/>
          <w:sz w:val="24"/>
        </w:rPr>
        <w:t>、</w:t>
      </w:r>
      <w:r>
        <w:rPr>
          <w:rFonts w:hint="eastAsia"/>
          <w:bCs/>
          <w:sz w:val="24"/>
        </w:rPr>
        <w:t>各类基金份额净值是按照每个</w:t>
      </w:r>
      <w:bookmarkStart w:id="329" w:name="_Hlk60133182"/>
      <w:r>
        <w:rPr>
          <w:rFonts w:hint="eastAsia"/>
          <w:bCs/>
          <w:sz w:val="24"/>
        </w:rPr>
        <w:t>估值</w:t>
      </w:r>
      <w:bookmarkEnd w:id="329"/>
      <w:r>
        <w:rPr>
          <w:rFonts w:hint="eastAsia"/>
          <w:bCs/>
          <w:sz w:val="24"/>
        </w:rPr>
        <w:t>日闭市后，各类基金资产净值除以当日该类基金份额的余额数量计算，均精确到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位四舍五入。基金管理人可以设立大额赎回情形下的净值精度应急调整机制。国家另有规定的，从其规定。</w:t>
      </w:r>
    </w:p>
    <w:p w14:paraId="70F66FC2" w14:textId="77777777" w:rsidR="007C736D" w:rsidRDefault="00662CFB">
      <w:pPr>
        <w:spacing w:line="360" w:lineRule="auto"/>
        <w:ind w:firstLine="480"/>
        <w:rPr>
          <w:bCs/>
          <w:sz w:val="24"/>
        </w:rPr>
      </w:pPr>
      <w:r>
        <w:rPr>
          <w:rFonts w:hint="eastAsia"/>
          <w:bCs/>
          <w:sz w:val="24"/>
        </w:rPr>
        <w:t>基金管理人应每个估值日计算基金资产净值及各类基金份额的基金份额净值，并按规定公告。</w:t>
      </w:r>
    </w:p>
    <w:p w14:paraId="740A310E" w14:textId="77777777" w:rsidR="007C736D" w:rsidRDefault="00662CFB">
      <w:pPr>
        <w:spacing w:line="360" w:lineRule="auto"/>
        <w:ind w:firstLine="480"/>
        <w:rPr>
          <w:bCs/>
          <w:sz w:val="24"/>
        </w:rPr>
      </w:pPr>
      <w:r>
        <w:rPr>
          <w:bCs/>
          <w:sz w:val="24"/>
        </w:rPr>
        <w:t>2</w:t>
      </w:r>
      <w:r>
        <w:rPr>
          <w:bCs/>
          <w:sz w:val="24"/>
        </w:rPr>
        <w:t>、基金管理人应每个</w:t>
      </w:r>
      <w:r>
        <w:rPr>
          <w:rFonts w:hint="eastAsia"/>
          <w:bCs/>
          <w:sz w:val="24"/>
        </w:rPr>
        <w:t>估值</w:t>
      </w:r>
      <w:r>
        <w:rPr>
          <w:bCs/>
          <w:sz w:val="24"/>
        </w:rPr>
        <w:t>日对基金资产估值。但基金管理人根据法律法规或本基金合同的规定暂停估值时除外。基金管理人每个</w:t>
      </w:r>
      <w:r>
        <w:rPr>
          <w:rFonts w:hint="eastAsia"/>
          <w:bCs/>
          <w:sz w:val="24"/>
        </w:rPr>
        <w:t>估值</w:t>
      </w:r>
      <w:r>
        <w:rPr>
          <w:bCs/>
          <w:sz w:val="24"/>
        </w:rPr>
        <w:t>日对基金资产估值后，将</w:t>
      </w:r>
      <w:r>
        <w:rPr>
          <w:rFonts w:hint="eastAsia"/>
          <w:bCs/>
          <w:sz w:val="24"/>
        </w:rPr>
        <w:t>各类基金份额的</w:t>
      </w:r>
      <w:r>
        <w:rPr>
          <w:bCs/>
          <w:sz w:val="24"/>
        </w:rPr>
        <w:t>基金份额净值结果发送基金托管人，经基金托管人复核无误后，由基金管理人对外公布。</w:t>
      </w:r>
    </w:p>
    <w:p w14:paraId="7C8547B7" w14:textId="77777777" w:rsidR="007C736D" w:rsidRDefault="00662CFB">
      <w:pPr>
        <w:spacing w:line="360" w:lineRule="auto"/>
        <w:ind w:firstLine="480"/>
        <w:rPr>
          <w:bCs/>
          <w:sz w:val="24"/>
        </w:rPr>
      </w:pPr>
      <w:r>
        <w:rPr>
          <w:rFonts w:hint="eastAsia"/>
          <w:bCs/>
          <w:sz w:val="24"/>
        </w:rPr>
        <w:t>六</w:t>
      </w:r>
      <w:r>
        <w:rPr>
          <w:bCs/>
          <w:sz w:val="24"/>
        </w:rPr>
        <w:t>、估值错误的处理</w:t>
      </w:r>
    </w:p>
    <w:p w14:paraId="23FD02DF" w14:textId="77777777" w:rsidR="007C736D" w:rsidRDefault="00662CFB">
      <w:pPr>
        <w:spacing w:line="360" w:lineRule="auto"/>
        <w:ind w:firstLine="480"/>
        <w:rPr>
          <w:bCs/>
          <w:sz w:val="24"/>
        </w:rPr>
      </w:pPr>
      <w:r>
        <w:rPr>
          <w:bCs/>
          <w:sz w:val="24"/>
        </w:rPr>
        <w:t>基金管理人和基金托管人将采取必要、适当、合理的措施确保基金资产估值的准确性、及时性。当</w:t>
      </w:r>
      <w:bookmarkStart w:id="330" w:name="_Hlk60133378"/>
      <w:r>
        <w:rPr>
          <w:rFonts w:hint="eastAsia"/>
          <w:bCs/>
          <w:sz w:val="24"/>
        </w:rPr>
        <w:t>任一类</w:t>
      </w:r>
      <w:bookmarkEnd w:id="330"/>
      <w:r>
        <w:rPr>
          <w:bCs/>
          <w:sz w:val="24"/>
        </w:rPr>
        <w:t>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w:t>
      </w:r>
      <w:r>
        <w:rPr>
          <w:rFonts w:hint="eastAsia"/>
          <w:bCs/>
          <w:sz w:val="24"/>
        </w:rPr>
        <w:t>估值错误</w:t>
      </w:r>
      <w:r>
        <w:rPr>
          <w:bCs/>
          <w:sz w:val="24"/>
        </w:rPr>
        <w:t>时，视为</w:t>
      </w:r>
      <w:bookmarkStart w:id="331" w:name="_Hlk60133382"/>
      <w:r>
        <w:rPr>
          <w:rFonts w:hint="eastAsia"/>
          <w:bCs/>
          <w:sz w:val="24"/>
        </w:rPr>
        <w:t>该类</w:t>
      </w:r>
      <w:bookmarkEnd w:id="331"/>
      <w:r>
        <w:rPr>
          <w:bCs/>
          <w:sz w:val="24"/>
        </w:rPr>
        <w:t>基金份额净值错误。</w:t>
      </w:r>
    </w:p>
    <w:p w14:paraId="5368ACFC" w14:textId="77777777" w:rsidR="007C736D" w:rsidRDefault="00662CFB">
      <w:pPr>
        <w:spacing w:line="360" w:lineRule="auto"/>
        <w:ind w:firstLine="480"/>
        <w:rPr>
          <w:bCs/>
          <w:sz w:val="24"/>
        </w:rPr>
      </w:pPr>
      <w:r>
        <w:rPr>
          <w:bCs/>
          <w:sz w:val="24"/>
        </w:rPr>
        <w:t>本基金合同的当事人应按照以下约定处理：</w:t>
      </w:r>
    </w:p>
    <w:p w14:paraId="156E7589" w14:textId="77777777" w:rsidR="007C736D" w:rsidRDefault="00662CFB">
      <w:pPr>
        <w:spacing w:line="360" w:lineRule="auto"/>
        <w:ind w:firstLine="480"/>
        <w:rPr>
          <w:bCs/>
          <w:sz w:val="24"/>
        </w:rPr>
      </w:pPr>
      <w:r>
        <w:rPr>
          <w:bCs/>
          <w:sz w:val="24"/>
        </w:rPr>
        <w:t>1</w:t>
      </w:r>
      <w:r>
        <w:rPr>
          <w:bCs/>
          <w:sz w:val="24"/>
        </w:rPr>
        <w:t>、估值错误类型</w:t>
      </w:r>
    </w:p>
    <w:p w14:paraId="3A250437" w14:textId="77777777" w:rsidR="007C736D" w:rsidRDefault="00662CFB">
      <w:pPr>
        <w:spacing w:line="360" w:lineRule="auto"/>
        <w:ind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39FDB7DA" w14:textId="77777777" w:rsidR="007C736D" w:rsidRDefault="00662CFB">
      <w:pPr>
        <w:spacing w:line="360" w:lineRule="auto"/>
        <w:ind w:firstLine="480"/>
        <w:rPr>
          <w:bCs/>
          <w:sz w:val="24"/>
        </w:rPr>
      </w:pPr>
      <w:r>
        <w:rPr>
          <w:bCs/>
          <w:sz w:val="24"/>
        </w:rPr>
        <w:t>上述估值错误的主要类型包括但不限于：资料申报差错、数据传输差错、数据计算差错、系统故障差错、下达指令差错等。</w:t>
      </w:r>
    </w:p>
    <w:p w14:paraId="51EE12DB" w14:textId="77777777" w:rsidR="007C736D" w:rsidRDefault="00662CFB">
      <w:pPr>
        <w:spacing w:line="360" w:lineRule="auto"/>
        <w:ind w:firstLine="480"/>
        <w:rPr>
          <w:bCs/>
          <w:sz w:val="24"/>
        </w:rPr>
      </w:pPr>
      <w:r>
        <w:rPr>
          <w:bCs/>
          <w:sz w:val="24"/>
        </w:rPr>
        <w:t>2</w:t>
      </w:r>
      <w:r>
        <w:rPr>
          <w:bCs/>
          <w:sz w:val="24"/>
        </w:rPr>
        <w:t>、估值错误处理原则</w:t>
      </w:r>
    </w:p>
    <w:p w14:paraId="16DC650A" w14:textId="77777777" w:rsidR="007C736D" w:rsidRDefault="00662CFB">
      <w:pPr>
        <w:spacing w:line="360" w:lineRule="auto"/>
        <w:ind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w:t>
      </w:r>
      <w:r>
        <w:rPr>
          <w:bCs/>
          <w:sz w:val="24"/>
        </w:rPr>
        <w:t>时间进行更正而未更正，则</w:t>
      </w:r>
      <w:r>
        <w:rPr>
          <w:rFonts w:hint="eastAsia"/>
          <w:bCs/>
          <w:sz w:val="24"/>
        </w:rPr>
        <w:t>其</w:t>
      </w:r>
      <w:r>
        <w:rPr>
          <w:bCs/>
          <w:sz w:val="24"/>
        </w:rPr>
        <w:t>应当承担相应</w:t>
      </w:r>
      <w:r>
        <w:rPr>
          <w:bCs/>
          <w:sz w:val="24"/>
        </w:rPr>
        <w:lastRenderedPageBreak/>
        <w:t>赔偿责任。估值错误责任方应对更正的情况向有关当事人进行确认，确保估值错误已得到更正。</w:t>
      </w:r>
    </w:p>
    <w:p w14:paraId="6A22BCEC" w14:textId="77777777" w:rsidR="007C736D" w:rsidRDefault="00662CFB">
      <w:pPr>
        <w:spacing w:line="360" w:lineRule="auto"/>
        <w:ind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0407BA66" w14:textId="77777777" w:rsidR="007C736D" w:rsidRDefault="00662CFB">
      <w:pPr>
        <w:spacing w:line="360" w:lineRule="auto"/>
        <w:ind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AFDF4CF" w14:textId="77777777" w:rsidR="007C736D" w:rsidRDefault="00662CFB">
      <w:pPr>
        <w:spacing w:line="360" w:lineRule="auto"/>
        <w:ind w:firstLine="480"/>
        <w:rPr>
          <w:bCs/>
          <w:sz w:val="24"/>
        </w:rPr>
      </w:pPr>
      <w:r>
        <w:rPr>
          <w:bCs/>
          <w:sz w:val="24"/>
        </w:rPr>
        <w:t>（</w:t>
      </w:r>
      <w:r>
        <w:rPr>
          <w:rFonts w:hint="eastAsia"/>
          <w:bCs/>
          <w:sz w:val="24"/>
        </w:rPr>
        <w:t>4</w:t>
      </w:r>
      <w:r>
        <w:rPr>
          <w:bCs/>
          <w:sz w:val="24"/>
        </w:rPr>
        <w:t>）估值错误调整采用尽量恢复至假设</w:t>
      </w:r>
      <w:r>
        <w:rPr>
          <w:bCs/>
          <w:sz w:val="24"/>
        </w:rPr>
        <w:t>未发生估值错误的正确情形的方式。</w:t>
      </w:r>
    </w:p>
    <w:p w14:paraId="5802AB1B" w14:textId="77777777" w:rsidR="007C736D" w:rsidRDefault="00662CFB">
      <w:pPr>
        <w:spacing w:line="360" w:lineRule="auto"/>
        <w:ind w:firstLine="480"/>
        <w:rPr>
          <w:bCs/>
          <w:sz w:val="24"/>
        </w:rPr>
      </w:pPr>
      <w:r>
        <w:rPr>
          <w:bCs/>
          <w:sz w:val="24"/>
        </w:rPr>
        <w:t>3</w:t>
      </w:r>
      <w:r>
        <w:rPr>
          <w:bCs/>
          <w:sz w:val="24"/>
        </w:rPr>
        <w:t>、估值错误处理程序</w:t>
      </w:r>
    </w:p>
    <w:p w14:paraId="341FF458" w14:textId="77777777" w:rsidR="007C736D" w:rsidRDefault="00662CFB">
      <w:pPr>
        <w:spacing w:line="360" w:lineRule="auto"/>
        <w:ind w:firstLine="480"/>
        <w:rPr>
          <w:bCs/>
          <w:sz w:val="24"/>
        </w:rPr>
      </w:pPr>
      <w:r>
        <w:rPr>
          <w:bCs/>
          <w:sz w:val="24"/>
        </w:rPr>
        <w:t>估值错误被发现后，有关的当事人应当及时进行处理，处理的程序如下：</w:t>
      </w:r>
    </w:p>
    <w:p w14:paraId="53F6A230" w14:textId="77777777" w:rsidR="007C736D" w:rsidRDefault="00662CFB">
      <w:pPr>
        <w:spacing w:line="360" w:lineRule="auto"/>
        <w:ind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7FED75E4" w14:textId="77777777" w:rsidR="007C736D" w:rsidRDefault="00662CFB">
      <w:pPr>
        <w:spacing w:line="360" w:lineRule="auto"/>
        <w:ind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091DC62B" w14:textId="77777777" w:rsidR="007C736D" w:rsidRDefault="00662CFB">
      <w:pPr>
        <w:spacing w:line="360" w:lineRule="auto"/>
        <w:ind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4D3E118A" w14:textId="77777777" w:rsidR="007C736D" w:rsidRDefault="00662CFB">
      <w:pPr>
        <w:spacing w:line="360" w:lineRule="auto"/>
        <w:ind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1442CF36" w14:textId="77777777" w:rsidR="007C736D" w:rsidRDefault="00662CFB">
      <w:pPr>
        <w:spacing w:line="360" w:lineRule="auto"/>
        <w:ind w:firstLine="480"/>
        <w:rPr>
          <w:bCs/>
          <w:sz w:val="24"/>
        </w:rPr>
      </w:pPr>
      <w:r>
        <w:rPr>
          <w:bCs/>
          <w:sz w:val="24"/>
        </w:rPr>
        <w:t>4</w:t>
      </w:r>
      <w:r>
        <w:rPr>
          <w:bCs/>
          <w:sz w:val="24"/>
        </w:rPr>
        <w:t>、</w:t>
      </w:r>
      <w:r>
        <w:rPr>
          <w:bCs/>
          <w:sz w:val="24"/>
        </w:rPr>
        <w:t>基金份额净值估值错误处理的方法如下：</w:t>
      </w:r>
    </w:p>
    <w:p w14:paraId="56E42BBB" w14:textId="77777777" w:rsidR="007C736D" w:rsidRDefault="00662CFB">
      <w:pPr>
        <w:spacing w:line="360" w:lineRule="auto"/>
        <w:ind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28B3BCDA" w14:textId="77777777" w:rsidR="007C736D" w:rsidRDefault="00662CFB">
      <w:pPr>
        <w:spacing w:line="360" w:lineRule="auto"/>
        <w:ind w:firstLine="480"/>
        <w:rPr>
          <w:bCs/>
          <w:sz w:val="24"/>
        </w:rPr>
      </w:pPr>
      <w:r>
        <w:rPr>
          <w:bCs/>
          <w:sz w:val="24"/>
        </w:rPr>
        <w:t>（</w:t>
      </w:r>
      <w:r>
        <w:rPr>
          <w:rFonts w:hint="eastAsia"/>
          <w:bCs/>
          <w:sz w:val="24"/>
        </w:rPr>
        <w:t>2</w:t>
      </w:r>
      <w:r>
        <w:rPr>
          <w:bCs/>
          <w:sz w:val="24"/>
        </w:rPr>
        <w:t>）</w:t>
      </w:r>
      <w:bookmarkStart w:id="332" w:name="_Hlk60133392"/>
      <w:r>
        <w:rPr>
          <w:rFonts w:hint="eastAsia"/>
          <w:bCs/>
          <w:sz w:val="24"/>
        </w:rPr>
        <w:t>各类基金份额的基金份额净值计算</w:t>
      </w:r>
      <w:bookmarkEnd w:id="332"/>
      <w:r>
        <w:rPr>
          <w:bCs/>
          <w:sz w:val="24"/>
        </w:rPr>
        <w:t>错误偏差达到</w:t>
      </w:r>
      <w:bookmarkStart w:id="333" w:name="_Hlk60133399"/>
      <w:r>
        <w:rPr>
          <w:rFonts w:hint="eastAsia"/>
          <w:bCs/>
          <w:sz w:val="24"/>
        </w:rPr>
        <w:t>该类</w:t>
      </w:r>
      <w:bookmarkEnd w:id="333"/>
      <w:r>
        <w:rPr>
          <w:bCs/>
          <w:sz w:val="24"/>
        </w:rPr>
        <w:t>基金份额净值的</w:t>
      </w:r>
      <w:r>
        <w:rPr>
          <w:bCs/>
          <w:sz w:val="24"/>
        </w:rPr>
        <w:t>0.25%</w:t>
      </w:r>
      <w:r>
        <w:rPr>
          <w:bCs/>
          <w:sz w:val="24"/>
        </w:rPr>
        <w:t>时，基金管理人应当通报基金托管人并报中国证监会备案；错误偏差达到</w:t>
      </w:r>
      <w:bookmarkStart w:id="334" w:name="_Hlk60133405"/>
      <w:r>
        <w:rPr>
          <w:rFonts w:hint="eastAsia"/>
          <w:bCs/>
          <w:sz w:val="24"/>
        </w:rPr>
        <w:t>该类</w:t>
      </w:r>
      <w:bookmarkEnd w:id="334"/>
      <w:r>
        <w:rPr>
          <w:bCs/>
          <w:sz w:val="24"/>
        </w:rPr>
        <w:t>基金份额净值的</w:t>
      </w:r>
      <w:r>
        <w:rPr>
          <w:bCs/>
          <w:sz w:val="24"/>
        </w:rPr>
        <w:t>0.5%</w:t>
      </w:r>
      <w:r>
        <w:rPr>
          <w:bCs/>
          <w:sz w:val="24"/>
        </w:rPr>
        <w:t>时，基金管理人应当公告</w:t>
      </w:r>
      <w:r>
        <w:rPr>
          <w:rFonts w:hint="eastAsia"/>
          <w:sz w:val="24"/>
        </w:rPr>
        <w:t>，</w:t>
      </w:r>
      <w:r>
        <w:rPr>
          <w:rFonts w:hint="eastAsia"/>
          <w:bCs/>
          <w:sz w:val="24"/>
        </w:rPr>
        <w:t>并报中国证监会备案。</w:t>
      </w:r>
    </w:p>
    <w:p w14:paraId="14F62C66" w14:textId="77777777" w:rsidR="007C736D" w:rsidRDefault="00662CFB">
      <w:pPr>
        <w:spacing w:line="360" w:lineRule="auto"/>
        <w:ind w:firstLine="480"/>
        <w:rPr>
          <w:bCs/>
          <w:sz w:val="24"/>
        </w:rPr>
      </w:pPr>
      <w:r>
        <w:rPr>
          <w:rFonts w:hint="eastAsia"/>
          <w:bCs/>
          <w:sz w:val="24"/>
        </w:rPr>
        <w:t>（</w:t>
      </w:r>
      <w:r>
        <w:rPr>
          <w:bCs/>
          <w:sz w:val="24"/>
        </w:rPr>
        <w:t>3</w:t>
      </w:r>
      <w:r>
        <w:rPr>
          <w:rFonts w:hint="eastAsia"/>
          <w:bCs/>
          <w:sz w:val="24"/>
        </w:rPr>
        <w:t>）</w:t>
      </w:r>
      <w:r>
        <w:rPr>
          <w:bCs/>
          <w:sz w:val="24"/>
        </w:rPr>
        <w:t>前述内容如法律法规或监管机关另有规定的，从其规定处理。</w:t>
      </w:r>
      <w:r>
        <w:rPr>
          <w:rFonts w:hint="eastAsia"/>
          <w:bCs/>
          <w:sz w:val="24"/>
        </w:rPr>
        <w:t>如果行</w:t>
      </w:r>
      <w:r>
        <w:rPr>
          <w:rFonts w:hint="eastAsia"/>
          <w:bCs/>
          <w:sz w:val="24"/>
        </w:rPr>
        <w:lastRenderedPageBreak/>
        <w:t>业另有通行做法，基金管理人</w:t>
      </w:r>
      <w:r>
        <w:rPr>
          <w:bCs/>
          <w:sz w:val="24"/>
        </w:rPr>
        <w:t>和基金托管人</w:t>
      </w:r>
      <w:r>
        <w:rPr>
          <w:rFonts w:hint="eastAsia"/>
          <w:bCs/>
          <w:sz w:val="24"/>
        </w:rPr>
        <w:t>应本着平等和保护基金份额持有人利益的原则进</w:t>
      </w:r>
      <w:r>
        <w:rPr>
          <w:rFonts w:hint="eastAsia"/>
          <w:bCs/>
          <w:sz w:val="24"/>
        </w:rPr>
        <w:t>行协商。</w:t>
      </w:r>
    </w:p>
    <w:p w14:paraId="442D9B5F" w14:textId="77777777" w:rsidR="007C736D" w:rsidRDefault="00662CFB">
      <w:pPr>
        <w:spacing w:line="360" w:lineRule="auto"/>
        <w:ind w:firstLine="480"/>
        <w:rPr>
          <w:bCs/>
          <w:sz w:val="24"/>
        </w:rPr>
      </w:pPr>
      <w:r>
        <w:rPr>
          <w:rFonts w:hint="eastAsia"/>
          <w:bCs/>
          <w:sz w:val="24"/>
        </w:rPr>
        <w:t>七</w:t>
      </w:r>
      <w:r>
        <w:rPr>
          <w:bCs/>
          <w:sz w:val="24"/>
        </w:rPr>
        <w:t>、暂停估值的情形</w:t>
      </w:r>
    </w:p>
    <w:p w14:paraId="6C09444D" w14:textId="77777777" w:rsidR="007C736D" w:rsidRDefault="00662CFB">
      <w:pPr>
        <w:spacing w:line="360" w:lineRule="auto"/>
        <w:ind w:firstLine="480"/>
        <w:rPr>
          <w:bCs/>
          <w:sz w:val="24"/>
        </w:rPr>
      </w:pPr>
      <w:r>
        <w:rPr>
          <w:bCs/>
          <w:sz w:val="24"/>
        </w:rPr>
        <w:t>1</w:t>
      </w:r>
      <w:r>
        <w:rPr>
          <w:bCs/>
          <w:sz w:val="24"/>
        </w:rPr>
        <w:t>、基金投资所涉及的证券</w:t>
      </w:r>
      <w:r>
        <w:rPr>
          <w:rFonts w:hint="eastAsia"/>
          <w:bCs/>
          <w:sz w:val="24"/>
        </w:rPr>
        <w:t>、</w:t>
      </w:r>
      <w:r>
        <w:rPr>
          <w:bCs/>
          <w:sz w:val="24"/>
        </w:rPr>
        <w:t>期货交易市场</w:t>
      </w:r>
      <w:r>
        <w:rPr>
          <w:rFonts w:hint="eastAsia"/>
          <w:bCs/>
          <w:sz w:val="24"/>
        </w:rPr>
        <w:t>或外汇市场</w:t>
      </w:r>
      <w:r>
        <w:rPr>
          <w:bCs/>
          <w:sz w:val="24"/>
        </w:rPr>
        <w:t>遇法定节假日或因其他原因暂停营业时；</w:t>
      </w:r>
    </w:p>
    <w:p w14:paraId="3C9E0417" w14:textId="77777777" w:rsidR="007C736D" w:rsidRDefault="00662CFB">
      <w:pPr>
        <w:spacing w:line="360" w:lineRule="auto"/>
        <w:ind w:firstLine="480"/>
        <w:rPr>
          <w:bCs/>
          <w:sz w:val="24"/>
        </w:rPr>
      </w:pPr>
      <w:r>
        <w:rPr>
          <w:bCs/>
          <w:sz w:val="24"/>
        </w:rPr>
        <w:t>2</w:t>
      </w:r>
      <w:r>
        <w:rPr>
          <w:bCs/>
          <w:sz w:val="24"/>
        </w:rPr>
        <w:t>、因不可抗力致使基金管理人、基金托管人无法准确评估基金资产价值时；</w:t>
      </w:r>
    </w:p>
    <w:p w14:paraId="2848C0E4" w14:textId="77777777" w:rsidR="007C736D" w:rsidRDefault="00662CFB">
      <w:pPr>
        <w:spacing w:line="360" w:lineRule="auto"/>
        <w:ind w:firstLine="480"/>
        <w:rPr>
          <w:bCs/>
          <w:sz w:val="24"/>
        </w:rPr>
      </w:pPr>
      <w:r>
        <w:rPr>
          <w:rFonts w:hint="eastAsia"/>
          <w:bCs/>
          <w:sz w:val="24"/>
        </w:rPr>
        <w:t>3</w:t>
      </w:r>
      <w:r>
        <w:rPr>
          <w:rFonts w:hint="eastAsia"/>
          <w:bCs/>
          <w:sz w:val="24"/>
        </w:rPr>
        <w:t>、</w:t>
      </w:r>
      <w:r>
        <w:rPr>
          <w:bCs/>
          <w:sz w:val="24"/>
        </w:rPr>
        <w:t>当</w:t>
      </w:r>
      <w:r>
        <w:rPr>
          <w:rFonts w:hint="eastAsia"/>
          <w:bCs/>
          <w:sz w:val="24"/>
        </w:rPr>
        <w:t>特定资产占</w:t>
      </w:r>
      <w:r>
        <w:rPr>
          <w:bCs/>
          <w:sz w:val="24"/>
        </w:rPr>
        <w:t>前一估值日基金资产净值</w:t>
      </w:r>
      <w:r>
        <w:rPr>
          <w:bCs/>
          <w:sz w:val="24"/>
        </w:rPr>
        <w:t xml:space="preserve"> 50%</w:t>
      </w:r>
      <w:r>
        <w:rPr>
          <w:bCs/>
          <w:sz w:val="24"/>
        </w:rPr>
        <w:t>以上</w:t>
      </w:r>
      <w:r>
        <w:rPr>
          <w:rFonts w:hint="eastAsia"/>
          <w:bCs/>
          <w:sz w:val="24"/>
        </w:rPr>
        <w:t>的</w:t>
      </w:r>
      <w:r>
        <w:rPr>
          <w:bCs/>
          <w:sz w:val="24"/>
        </w:rPr>
        <w:t>，</w:t>
      </w:r>
      <w:r>
        <w:rPr>
          <w:rFonts w:hint="eastAsia"/>
          <w:bCs/>
          <w:sz w:val="24"/>
        </w:rPr>
        <w:t>经与基金托管人协商确认后，基金管理人应当暂停估值；</w:t>
      </w:r>
    </w:p>
    <w:p w14:paraId="2266C76B" w14:textId="77777777" w:rsidR="007C736D" w:rsidRDefault="00662CFB">
      <w:pPr>
        <w:spacing w:line="360" w:lineRule="auto"/>
        <w:ind w:firstLine="480"/>
        <w:rPr>
          <w:bCs/>
          <w:sz w:val="24"/>
        </w:rPr>
      </w:pPr>
      <w:r>
        <w:rPr>
          <w:rFonts w:hint="eastAsia"/>
          <w:bCs/>
          <w:sz w:val="24"/>
        </w:rPr>
        <w:t>4</w:t>
      </w:r>
      <w:r>
        <w:rPr>
          <w:rFonts w:hint="eastAsia"/>
          <w:bCs/>
          <w:sz w:val="24"/>
        </w:rPr>
        <w:t>、法律法规、</w:t>
      </w:r>
      <w:r>
        <w:rPr>
          <w:bCs/>
          <w:sz w:val="24"/>
        </w:rPr>
        <w:t>中国证监会</w:t>
      </w:r>
      <w:r>
        <w:rPr>
          <w:rFonts w:hint="eastAsia"/>
          <w:bCs/>
          <w:sz w:val="24"/>
        </w:rPr>
        <w:t>规定</w:t>
      </w:r>
      <w:r>
        <w:rPr>
          <w:bCs/>
          <w:sz w:val="24"/>
        </w:rPr>
        <w:t>和基金合同认定的其它情形。</w:t>
      </w:r>
    </w:p>
    <w:p w14:paraId="19F8C61C" w14:textId="77777777" w:rsidR="007C736D" w:rsidRDefault="00662CFB">
      <w:pPr>
        <w:spacing w:line="360" w:lineRule="auto"/>
        <w:ind w:firstLine="480"/>
        <w:rPr>
          <w:bCs/>
          <w:sz w:val="24"/>
        </w:rPr>
      </w:pPr>
      <w:r>
        <w:rPr>
          <w:rFonts w:hint="eastAsia"/>
          <w:bCs/>
          <w:sz w:val="24"/>
        </w:rPr>
        <w:t>八</w:t>
      </w:r>
      <w:r>
        <w:rPr>
          <w:bCs/>
          <w:sz w:val="24"/>
        </w:rPr>
        <w:t>、基金净值的确认</w:t>
      </w:r>
    </w:p>
    <w:p w14:paraId="710F6628" w14:textId="77777777" w:rsidR="007C736D" w:rsidRDefault="00662CFB">
      <w:pPr>
        <w:spacing w:line="360" w:lineRule="auto"/>
        <w:ind w:firstLine="480"/>
        <w:rPr>
          <w:bCs/>
          <w:sz w:val="24"/>
        </w:rPr>
      </w:pPr>
      <w:r>
        <w:rPr>
          <w:bCs/>
          <w:sz w:val="24"/>
        </w:rPr>
        <w:t>基金资产净值和</w:t>
      </w:r>
      <w:r>
        <w:rPr>
          <w:rFonts w:hint="eastAsia"/>
          <w:bCs/>
          <w:sz w:val="24"/>
        </w:rPr>
        <w:t>各类基金份额的</w:t>
      </w:r>
      <w:r>
        <w:rPr>
          <w:bCs/>
          <w:sz w:val="24"/>
        </w:rPr>
        <w:t>基金份额净值由基金管理人负责计算，基金托管人负责进行复核。基金管理人应于每个</w:t>
      </w:r>
      <w:bookmarkStart w:id="335" w:name="_Hlk60133248"/>
      <w:r>
        <w:rPr>
          <w:rFonts w:hint="eastAsia"/>
          <w:bCs/>
          <w:sz w:val="24"/>
        </w:rPr>
        <w:t>估值</w:t>
      </w:r>
      <w:bookmarkEnd w:id="335"/>
      <w:r>
        <w:rPr>
          <w:bCs/>
          <w:sz w:val="24"/>
        </w:rPr>
        <w:t>日交易结束后计算当日的基金资产净值和</w:t>
      </w:r>
      <w:r>
        <w:rPr>
          <w:rFonts w:hint="eastAsia"/>
          <w:bCs/>
          <w:sz w:val="24"/>
        </w:rPr>
        <w:t>各类基金份额的</w:t>
      </w:r>
      <w:r>
        <w:rPr>
          <w:bCs/>
          <w:sz w:val="24"/>
        </w:rPr>
        <w:t>基金份额净值并发送给基金托管人。基金托管人对净值计算结果复核确认后发送给基金管理人，由基金管理人对基金净值</w:t>
      </w:r>
      <w:r>
        <w:rPr>
          <w:rFonts w:hint="eastAsia"/>
          <w:bCs/>
          <w:sz w:val="24"/>
        </w:rPr>
        <w:t>信息按约定</w:t>
      </w:r>
      <w:r>
        <w:rPr>
          <w:bCs/>
          <w:sz w:val="24"/>
        </w:rPr>
        <w:t>予以公布。</w:t>
      </w:r>
    </w:p>
    <w:p w14:paraId="247E193B" w14:textId="77777777" w:rsidR="007C736D" w:rsidRDefault="00662CFB">
      <w:pPr>
        <w:spacing w:line="360" w:lineRule="auto"/>
        <w:ind w:firstLine="480"/>
        <w:rPr>
          <w:bCs/>
          <w:sz w:val="24"/>
        </w:rPr>
      </w:pPr>
      <w:r>
        <w:rPr>
          <w:rFonts w:hint="eastAsia"/>
          <w:bCs/>
          <w:sz w:val="24"/>
        </w:rPr>
        <w:t>九、特殊情况的处理方法</w:t>
      </w:r>
    </w:p>
    <w:p w14:paraId="444446AB" w14:textId="77777777" w:rsidR="007C736D" w:rsidRDefault="00662CFB">
      <w:pPr>
        <w:spacing w:line="360" w:lineRule="auto"/>
        <w:ind w:firstLine="480"/>
        <w:rPr>
          <w:bCs/>
          <w:sz w:val="24"/>
        </w:rPr>
      </w:pPr>
      <w:r>
        <w:rPr>
          <w:rFonts w:hint="eastAsia"/>
          <w:bCs/>
          <w:sz w:val="24"/>
        </w:rPr>
        <w:t>1</w:t>
      </w:r>
      <w:r>
        <w:rPr>
          <w:rFonts w:hint="eastAsia"/>
          <w:bCs/>
          <w:sz w:val="24"/>
        </w:rPr>
        <w:t>、基金管理人或基金托管人按估值方法的第</w:t>
      </w:r>
      <w:r>
        <w:rPr>
          <w:rFonts w:hint="eastAsia"/>
          <w:bCs/>
          <w:sz w:val="24"/>
        </w:rPr>
        <w:t>13</w:t>
      </w:r>
      <w:r>
        <w:rPr>
          <w:rFonts w:hint="eastAsia"/>
          <w:bCs/>
          <w:sz w:val="24"/>
        </w:rPr>
        <w:t>项进行估值时，所造成的误差不作为基金资产估值错误处理。</w:t>
      </w:r>
    </w:p>
    <w:p w14:paraId="4CD47557" w14:textId="77777777" w:rsidR="007C736D" w:rsidRDefault="00662CFB">
      <w:pPr>
        <w:spacing w:line="360" w:lineRule="auto"/>
        <w:ind w:firstLine="480"/>
        <w:rPr>
          <w:bCs/>
          <w:sz w:val="24"/>
        </w:rPr>
      </w:pPr>
      <w:r>
        <w:rPr>
          <w:rFonts w:hint="eastAsia"/>
          <w:bCs/>
          <w:sz w:val="24"/>
        </w:rPr>
        <w:t>2</w:t>
      </w:r>
      <w:r>
        <w:rPr>
          <w:rFonts w:hint="eastAsia"/>
          <w:bCs/>
          <w:sz w:val="24"/>
        </w:rPr>
        <w:t>、由于不可抗力原因，或由于证券、</w:t>
      </w:r>
      <w:r>
        <w:rPr>
          <w:bCs/>
          <w:sz w:val="24"/>
        </w:rPr>
        <w:t>期货</w:t>
      </w:r>
      <w:r>
        <w:rPr>
          <w:rFonts w:hint="eastAsia"/>
          <w:bCs/>
          <w:sz w:val="24"/>
        </w:rPr>
        <w:t>交易所、登记结算公司、第三方估值基准服务机构等机构发送的数据错误等原因，基金管理人和基金托管人虽然已经采取必要、适当、合理的措施进行检查，但未能发现错误或因上述原因未能及时更正的，由此造成的基金份额净值计算错</w:t>
      </w:r>
      <w:r>
        <w:rPr>
          <w:rFonts w:hint="eastAsia"/>
          <w:bCs/>
          <w:sz w:val="24"/>
        </w:rPr>
        <w:t>误，基金管理人和基金托管人免除赔偿责任，但基金管理人、基金托管人应当积极采取必要的措施消除或减轻由此造成的影响。</w:t>
      </w:r>
    </w:p>
    <w:p w14:paraId="09B106E0" w14:textId="77777777" w:rsidR="007C736D" w:rsidRDefault="00662CFB">
      <w:pPr>
        <w:spacing w:line="360" w:lineRule="auto"/>
        <w:ind w:firstLine="480"/>
        <w:rPr>
          <w:bCs/>
          <w:sz w:val="24"/>
        </w:rPr>
      </w:pPr>
      <w:r>
        <w:rPr>
          <w:rFonts w:hint="eastAsia"/>
          <w:bCs/>
          <w:sz w:val="24"/>
        </w:rPr>
        <w:t>十、实施侧袋机制期间的基金资产估值</w:t>
      </w:r>
      <w:r>
        <w:rPr>
          <w:rFonts w:hint="eastAsia"/>
          <w:bCs/>
          <w:sz w:val="24"/>
        </w:rPr>
        <w:t xml:space="preserve"> </w:t>
      </w:r>
    </w:p>
    <w:p w14:paraId="0B546B44" w14:textId="77777777" w:rsidR="007C736D" w:rsidRDefault="00662CFB">
      <w:pPr>
        <w:spacing w:line="360" w:lineRule="auto"/>
        <w:ind w:firstLine="480"/>
        <w:rPr>
          <w:bCs/>
          <w:sz w:val="24"/>
        </w:rPr>
      </w:pPr>
      <w:r>
        <w:rPr>
          <w:rFonts w:hint="eastAsia"/>
          <w:bCs/>
          <w:sz w:val="24"/>
        </w:rPr>
        <w:t>本基金实施侧袋机制的，应根据本部分的约定对主袋账户资产进行估值并披露主袋账户的基金净值信息，暂停披露侧袋账户份额净值。</w:t>
      </w:r>
    </w:p>
    <w:p w14:paraId="61485C37" w14:textId="77777777" w:rsidR="007C736D" w:rsidRDefault="007C736D">
      <w:pPr>
        <w:spacing w:line="360" w:lineRule="auto"/>
        <w:ind w:firstLine="480"/>
        <w:rPr>
          <w:bCs/>
          <w:sz w:val="24"/>
        </w:rPr>
      </w:pPr>
    </w:p>
    <w:p w14:paraId="77733B46" w14:textId="77777777" w:rsidR="007C736D" w:rsidRDefault="00662CFB">
      <w:pPr>
        <w:pStyle w:val="1110"/>
        <w:spacing w:before="0" w:after="0"/>
        <w:jc w:val="center"/>
        <w:rPr>
          <w:rFonts w:ascii="Times New Roman"/>
          <w:b w:val="0"/>
          <w:color w:val="auto"/>
          <w:sz w:val="30"/>
        </w:rPr>
      </w:pPr>
      <w:r>
        <w:rPr>
          <w:rFonts w:ascii="Times New Roman"/>
          <w:b w:val="0"/>
          <w:color w:val="auto"/>
          <w:sz w:val="30"/>
        </w:rPr>
        <w:br w:type="page"/>
      </w:r>
      <w:bookmarkStart w:id="336" w:name="_Toc19752"/>
      <w:bookmarkStart w:id="337" w:name="_Toc32041"/>
      <w:bookmarkStart w:id="338" w:name="_Toc25072224"/>
      <w:bookmarkStart w:id="339" w:name="_Toc15779"/>
      <w:bookmarkStart w:id="340" w:name="_Toc12105"/>
      <w:bookmarkStart w:id="341" w:name="_Toc13987"/>
      <w:bookmarkStart w:id="342" w:name="_Toc24601"/>
      <w:bookmarkStart w:id="343" w:name="_Toc3365"/>
      <w:bookmarkStart w:id="344" w:name="_Toc136360684"/>
      <w:bookmarkStart w:id="345" w:name="_Toc32227"/>
      <w:bookmarkStart w:id="346" w:name="_Toc19706"/>
      <w:r>
        <w:rPr>
          <w:rFonts w:ascii="Times New Roman" w:hint="eastAsia"/>
          <w:b w:val="0"/>
          <w:color w:val="auto"/>
          <w:sz w:val="30"/>
        </w:rPr>
        <w:lastRenderedPageBreak/>
        <w:t>第十五部分</w:t>
      </w:r>
      <w:r>
        <w:rPr>
          <w:rFonts w:ascii="Times New Roman"/>
          <w:b w:val="0"/>
          <w:color w:val="auto"/>
          <w:sz w:val="30"/>
        </w:rPr>
        <w:t xml:space="preserve"> </w:t>
      </w:r>
      <w:r>
        <w:rPr>
          <w:rFonts w:ascii="Times New Roman" w:hint="eastAsia"/>
          <w:b w:val="0"/>
          <w:color w:val="auto"/>
          <w:sz w:val="30"/>
        </w:rPr>
        <w:t xml:space="preserve"> </w:t>
      </w:r>
      <w:r>
        <w:rPr>
          <w:rFonts w:ascii="Times New Roman" w:hint="eastAsia"/>
          <w:b w:val="0"/>
          <w:color w:val="auto"/>
          <w:sz w:val="30"/>
        </w:rPr>
        <w:t>基金费用与税收</w:t>
      </w:r>
      <w:bookmarkEnd w:id="325"/>
      <w:bookmarkEnd w:id="326"/>
      <w:bookmarkEnd w:id="327"/>
      <w:bookmarkEnd w:id="336"/>
      <w:bookmarkEnd w:id="337"/>
      <w:bookmarkEnd w:id="338"/>
      <w:bookmarkEnd w:id="339"/>
      <w:bookmarkEnd w:id="340"/>
      <w:bookmarkEnd w:id="341"/>
      <w:bookmarkEnd w:id="342"/>
      <w:bookmarkEnd w:id="343"/>
      <w:bookmarkEnd w:id="344"/>
      <w:bookmarkEnd w:id="345"/>
      <w:bookmarkEnd w:id="346"/>
    </w:p>
    <w:p w14:paraId="1326164D" w14:textId="77777777" w:rsidR="007C736D" w:rsidRDefault="007C736D">
      <w:pPr>
        <w:spacing w:line="360" w:lineRule="auto"/>
        <w:ind w:firstLine="480"/>
        <w:rPr>
          <w:bCs/>
          <w:sz w:val="24"/>
        </w:rPr>
      </w:pPr>
    </w:p>
    <w:p w14:paraId="747F7531" w14:textId="77777777" w:rsidR="007C736D" w:rsidRDefault="00662CFB">
      <w:pPr>
        <w:spacing w:line="360" w:lineRule="auto"/>
        <w:ind w:firstLine="480"/>
        <w:rPr>
          <w:bCs/>
          <w:sz w:val="24"/>
        </w:rPr>
      </w:pPr>
      <w:r>
        <w:rPr>
          <w:bCs/>
          <w:sz w:val="24"/>
        </w:rPr>
        <w:t>一、基金费用的种类</w:t>
      </w:r>
    </w:p>
    <w:p w14:paraId="6061F320" w14:textId="77777777" w:rsidR="007C736D" w:rsidRDefault="00662CFB">
      <w:pPr>
        <w:spacing w:line="360" w:lineRule="auto"/>
        <w:ind w:firstLine="480"/>
        <w:rPr>
          <w:bCs/>
          <w:sz w:val="24"/>
        </w:rPr>
      </w:pPr>
      <w:r>
        <w:rPr>
          <w:bCs/>
          <w:sz w:val="24"/>
        </w:rPr>
        <w:t>1</w:t>
      </w:r>
      <w:r>
        <w:rPr>
          <w:bCs/>
          <w:sz w:val="24"/>
        </w:rPr>
        <w:t>、基金管理人的管理费；</w:t>
      </w:r>
    </w:p>
    <w:p w14:paraId="216C2104" w14:textId="77777777" w:rsidR="007C736D" w:rsidRDefault="00662CFB">
      <w:pPr>
        <w:spacing w:line="360" w:lineRule="auto"/>
        <w:ind w:firstLine="480"/>
        <w:rPr>
          <w:bCs/>
          <w:sz w:val="24"/>
        </w:rPr>
      </w:pPr>
      <w:r>
        <w:rPr>
          <w:bCs/>
          <w:sz w:val="24"/>
        </w:rPr>
        <w:t>2</w:t>
      </w:r>
      <w:r>
        <w:rPr>
          <w:bCs/>
          <w:sz w:val="24"/>
        </w:rPr>
        <w:t>、基金托管人的托管费；</w:t>
      </w:r>
    </w:p>
    <w:p w14:paraId="0E8B20AB" w14:textId="77777777" w:rsidR="007C736D" w:rsidRDefault="00662CFB">
      <w:pPr>
        <w:spacing w:line="360" w:lineRule="auto"/>
        <w:ind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04A9DA5E" w14:textId="77777777" w:rsidR="007C736D" w:rsidRDefault="00662CFB">
      <w:pPr>
        <w:spacing w:line="360" w:lineRule="auto"/>
        <w:ind w:firstLine="480"/>
        <w:rPr>
          <w:bCs/>
          <w:sz w:val="24"/>
        </w:rPr>
      </w:pPr>
      <w:r>
        <w:rPr>
          <w:rFonts w:hint="eastAsia"/>
          <w:bCs/>
          <w:sz w:val="24"/>
        </w:rPr>
        <w:t>4</w:t>
      </w:r>
      <w:r>
        <w:rPr>
          <w:bCs/>
          <w:sz w:val="24"/>
        </w:rPr>
        <w:t>、《基金合同》生效后</w:t>
      </w:r>
      <w:bookmarkStart w:id="347" w:name="_Hlk136251332"/>
      <w:r>
        <w:rPr>
          <w:bCs/>
          <w:sz w:val="24"/>
        </w:rPr>
        <w:t>与基金相关的</w:t>
      </w:r>
      <w:bookmarkEnd w:id="347"/>
      <w:r>
        <w:rPr>
          <w:bCs/>
          <w:sz w:val="24"/>
        </w:rPr>
        <w:t>信息披露费用；</w:t>
      </w:r>
    </w:p>
    <w:p w14:paraId="737464A9" w14:textId="77777777" w:rsidR="007C736D" w:rsidRDefault="00662CFB">
      <w:pPr>
        <w:spacing w:line="360" w:lineRule="auto"/>
        <w:ind w:firstLine="480"/>
        <w:rPr>
          <w:bCs/>
          <w:sz w:val="24"/>
        </w:rPr>
      </w:pPr>
      <w:r>
        <w:rPr>
          <w:rFonts w:hint="eastAsia"/>
          <w:bCs/>
          <w:sz w:val="24"/>
        </w:rPr>
        <w:t>5</w:t>
      </w:r>
      <w:r>
        <w:rPr>
          <w:bCs/>
          <w:sz w:val="24"/>
        </w:rPr>
        <w:t>、《基金合同》生效后与基金相关的会计师费、律师费</w:t>
      </w:r>
      <w:r>
        <w:rPr>
          <w:rFonts w:hint="eastAsia"/>
          <w:bCs/>
          <w:sz w:val="24"/>
        </w:rPr>
        <w:t>、</w:t>
      </w:r>
      <w:r>
        <w:rPr>
          <w:bCs/>
          <w:sz w:val="24"/>
        </w:rPr>
        <w:t>诉讼费</w:t>
      </w:r>
      <w:r>
        <w:rPr>
          <w:rFonts w:hint="eastAsia"/>
          <w:bCs/>
          <w:sz w:val="24"/>
        </w:rPr>
        <w:t>和仲裁费</w:t>
      </w:r>
      <w:r>
        <w:rPr>
          <w:bCs/>
          <w:sz w:val="24"/>
        </w:rPr>
        <w:t>；</w:t>
      </w:r>
    </w:p>
    <w:p w14:paraId="262BCD30" w14:textId="77777777" w:rsidR="007C736D" w:rsidRDefault="00662CFB">
      <w:pPr>
        <w:spacing w:line="360" w:lineRule="auto"/>
        <w:ind w:firstLine="480"/>
        <w:rPr>
          <w:bCs/>
          <w:sz w:val="24"/>
        </w:rPr>
      </w:pPr>
      <w:r>
        <w:rPr>
          <w:rFonts w:hint="eastAsia"/>
          <w:bCs/>
          <w:sz w:val="24"/>
        </w:rPr>
        <w:t>6</w:t>
      </w:r>
      <w:r>
        <w:rPr>
          <w:bCs/>
          <w:sz w:val="24"/>
        </w:rPr>
        <w:t>、基金份额持有人大会费用；</w:t>
      </w:r>
    </w:p>
    <w:p w14:paraId="1EE555F7" w14:textId="77777777" w:rsidR="007C736D" w:rsidRDefault="00662CFB">
      <w:pPr>
        <w:spacing w:line="360" w:lineRule="auto"/>
        <w:ind w:firstLine="480"/>
        <w:rPr>
          <w:bCs/>
          <w:sz w:val="24"/>
        </w:rPr>
      </w:pPr>
      <w:r>
        <w:rPr>
          <w:rFonts w:hint="eastAsia"/>
          <w:bCs/>
          <w:sz w:val="24"/>
        </w:rPr>
        <w:t>7</w:t>
      </w:r>
      <w:r>
        <w:rPr>
          <w:bCs/>
          <w:sz w:val="24"/>
        </w:rPr>
        <w:t>、基金的证券</w:t>
      </w:r>
      <w:r>
        <w:rPr>
          <w:rFonts w:hint="eastAsia"/>
          <w:bCs/>
          <w:sz w:val="24"/>
        </w:rPr>
        <w:t>、</w:t>
      </w:r>
      <w:r>
        <w:rPr>
          <w:bCs/>
          <w:sz w:val="24"/>
        </w:rPr>
        <w:t>期货</w:t>
      </w:r>
      <w:r>
        <w:rPr>
          <w:rFonts w:hint="eastAsia"/>
          <w:bCs/>
          <w:sz w:val="24"/>
        </w:rPr>
        <w:t>、</w:t>
      </w:r>
      <w:bookmarkStart w:id="348" w:name="_Hlk136251279"/>
      <w:r>
        <w:rPr>
          <w:rFonts w:hint="eastAsia"/>
          <w:bCs/>
          <w:sz w:val="24"/>
        </w:rPr>
        <w:t>股票期权、</w:t>
      </w:r>
      <w:bookmarkEnd w:id="348"/>
      <w:r>
        <w:rPr>
          <w:rFonts w:hint="eastAsia"/>
          <w:bCs/>
          <w:sz w:val="24"/>
        </w:rPr>
        <w:t>信用衍生品等</w:t>
      </w:r>
      <w:r>
        <w:rPr>
          <w:bCs/>
          <w:sz w:val="24"/>
        </w:rPr>
        <w:t>交易费用；</w:t>
      </w:r>
    </w:p>
    <w:p w14:paraId="4C3F8894" w14:textId="77777777" w:rsidR="007C736D" w:rsidRDefault="00662CFB">
      <w:pPr>
        <w:spacing w:line="360" w:lineRule="auto"/>
        <w:ind w:firstLine="480"/>
        <w:rPr>
          <w:bCs/>
          <w:sz w:val="24"/>
        </w:rPr>
      </w:pPr>
      <w:r>
        <w:rPr>
          <w:rFonts w:hint="eastAsia"/>
          <w:bCs/>
          <w:sz w:val="24"/>
        </w:rPr>
        <w:t>8</w:t>
      </w:r>
      <w:r>
        <w:rPr>
          <w:bCs/>
          <w:sz w:val="24"/>
        </w:rPr>
        <w:t>、</w:t>
      </w:r>
      <w:bookmarkStart w:id="349" w:name="_Hlk136251300"/>
      <w:r>
        <w:rPr>
          <w:bCs/>
          <w:sz w:val="24"/>
        </w:rPr>
        <w:t>基金的银行汇划费用</w:t>
      </w:r>
      <w:bookmarkEnd w:id="349"/>
      <w:r>
        <w:rPr>
          <w:bCs/>
          <w:sz w:val="24"/>
        </w:rPr>
        <w:t>；</w:t>
      </w:r>
    </w:p>
    <w:p w14:paraId="7F53D4A5" w14:textId="77777777" w:rsidR="007C736D" w:rsidRDefault="00662CFB">
      <w:pPr>
        <w:spacing w:line="360" w:lineRule="auto"/>
        <w:ind w:firstLine="480"/>
        <w:rPr>
          <w:bCs/>
          <w:sz w:val="24"/>
        </w:rPr>
      </w:pPr>
      <w:r>
        <w:rPr>
          <w:rFonts w:hint="eastAsia"/>
          <w:bCs/>
          <w:sz w:val="24"/>
        </w:rPr>
        <w:t>9</w:t>
      </w:r>
      <w:r>
        <w:rPr>
          <w:bCs/>
          <w:sz w:val="24"/>
        </w:rPr>
        <w:t>、</w:t>
      </w:r>
      <w:r>
        <w:rPr>
          <w:rFonts w:hint="eastAsia"/>
          <w:bCs/>
          <w:sz w:val="24"/>
        </w:rPr>
        <w:t>基金的账户开户费用、账户维护费用；</w:t>
      </w:r>
    </w:p>
    <w:p w14:paraId="548A234E" w14:textId="77777777" w:rsidR="007C736D" w:rsidRDefault="00662CFB">
      <w:pPr>
        <w:spacing w:line="360" w:lineRule="auto"/>
        <w:ind w:firstLine="480"/>
        <w:rPr>
          <w:sz w:val="24"/>
        </w:rPr>
      </w:pPr>
      <w:r>
        <w:rPr>
          <w:rFonts w:hint="eastAsia"/>
          <w:bCs/>
          <w:sz w:val="24"/>
        </w:rPr>
        <w:t>10</w:t>
      </w:r>
      <w:r>
        <w:rPr>
          <w:rFonts w:hint="eastAsia"/>
          <w:bCs/>
          <w:sz w:val="24"/>
        </w:rPr>
        <w:t>、</w:t>
      </w:r>
      <w:bookmarkStart w:id="350" w:name="_Hlk136251364"/>
      <w:r>
        <w:rPr>
          <w:rFonts w:hint="eastAsia"/>
          <w:bCs/>
          <w:sz w:val="24"/>
        </w:rPr>
        <w:t>因投资港股通标的股票资产而产生的各项合理费用</w:t>
      </w:r>
      <w:bookmarkEnd w:id="350"/>
      <w:r>
        <w:rPr>
          <w:rFonts w:hint="eastAsia"/>
          <w:bCs/>
          <w:sz w:val="24"/>
        </w:rPr>
        <w:t>；</w:t>
      </w:r>
    </w:p>
    <w:p w14:paraId="2CE1B3EF" w14:textId="77777777" w:rsidR="007C736D" w:rsidRDefault="00662CFB">
      <w:pPr>
        <w:spacing w:line="360" w:lineRule="auto"/>
        <w:ind w:firstLine="480"/>
        <w:rPr>
          <w:bCs/>
          <w:sz w:val="24"/>
        </w:rPr>
      </w:pPr>
      <w:r>
        <w:rPr>
          <w:rFonts w:hint="eastAsia"/>
          <w:bCs/>
          <w:sz w:val="24"/>
        </w:rPr>
        <w:t>11</w:t>
      </w:r>
      <w:r>
        <w:rPr>
          <w:bCs/>
          <w:sz w:val="24"/>
        </w:rPr>
        <w:t>、按照国家有关规定和《基金合同》约定，可以在基金财产中列支的其他费用。</w:t>
      </w:r>
    </w:p>
    <w:p w14:paraId="611C7500" w14:textId="77777777" w:rsidR="007C736D" w:rsidRDefault="00662CFB">
      <w:pPr>
        <w:spacing w:line="360" w:lineRule="auto"/>
        <w:ind w:firstLine="480"/>
        <w:rPr>
          <w:bCs/>
          <w:sz w:val="24"/>
        </w:rPr>
      </w:pPr>
      <w:r>
        <w:rPr>
          <w:bCs/>
          <w:sz w:val="24"/>
        </w:rPr>
        <w:t>二、基金费用计提方法、计提标准和支付方式</w:t>
      </w:r>
    </w:p>
    <w:p w14:paraId="470C0B3E" w14:textId="77777777" w:rsidR="007C736D" w:rsidRDefault="00662CFB">
      <w:pPr>
        <w:spacing w:line="360" w:lineRule="auto"/>
        <w:ind w:firstLine="480"/>
        <w:rPr>
          <w:bCs/>
          <w:sz w:val="24"/>
        </w:rPr>
      </w:pPr>
      <w:r>
        <w:rPr>
          <w:bCs/>
          <w:sz w:val="24"/>
        </w:rPr>
        <w:t>1</w:t>
      </w:r>
      <w:r>
        <w:rPr>
          <w:bCs/>
          <w:sz w:val="24"/>
        </w:rPr>
        <w:t>、基金管理人的管理费</w:t>
      </w:r>
    </w:p>
    <w:p w14:paraId="4347A49B" w14:textId="77777777" w:rsidR="007C736D" w:rsidRDefault="00662CFB">
      <w:pPr>
        <w:spacing w:line="360" w:lineRule="auto"/>
        <w:ind w:firstLine="480"/>
        <w:rPr>
          <w:bCs/>
          <w:sz w:val="24"/>
        </w:rPr>
      </w:pPr>
      <w:r>
        <w:rPr>
          <w:bCs/>
          <w:sz w:val="24"/>
        </w:rPr>
        <w:t>本基金</w:t>
      </w:r>
      <w:r>
        <w:rPr>
          <w:rFonts w:hint="eastAsia"/>
          <w:bCs/>
          <w:sz w:val="24"/>
        </w:rPr>
        <w:t>的管理费按前一日基金资产净值的</w:t>
      </w:r>
      <w:r>
        <w:rPr>
          <w:rFonts w:hint="eastAsia"/>
          <w:bCs/>
          <w:sz w:val="24"/>
        </w:rPr>
        <w:t>1.</w:t>
      </w:r>
      <w:r>
        <w:rPr>
          <w:bCs/>
          <w:sz w:val="24"/>
        </w:rPr>
        <w:t>20</w:t>
      </w:r>
      <w:r>
        <w:rPr>
          <w:rFonts w:hint="eastAsia"/>
          <w:bCs/>
          <w:sz w:val="24"/>
        </w:rPr>
        <w:t>%</w:t>
      </w:r>
      <w:r>
        <w:rPr>
          <w:rFonts w:hint="eastAsia"/>
          <w:bCs/>
          <w:sz w:val="24"/>
        </w:rPr>
        <w:t>年费率计提。</w:t>
      </w:r>
      <w:r>
        <w:rPr>
          <w:bCs/>
          <w:sz w:val="24"/>
        </w:rPr>
        <w:t>管理费的计算方法如下：</w:t>
      </w:r>
    </w:p>
    <w:p w14:paraId="27B75E10" w14:textId="77777777" w:rsidR="007C736D" w:rsidRDefault="00662CFB">
      <w:pPr>
        <w:spacing w:line="360" w:lineRule="auto"/>
        <w:ind w:firstLine="480"/>
        <w:rPr>
          <w:bCs/>
          <w:sz w:val="24"/>
        </w:rPr>
      </w:pPr>
      <w:r>
        <w:rPr>
          <w:bCs/>
          <w:sz w:val="24"/>
        </w:rPr>
        <w:t>H</w:t>
      </w:r>
      <w:r>
        <w:rPr>
          <w:bCs/>
          <w:sz w:val="24"/>
        </w:rPr>
        <w:t>＝</w:t>
      </w:r>
      <w:r>
        <w:rPr>
          <w:bCs/>
          <w:sz w:val="24"/>
        </w:rPr>
        <w:t>E×1.20%÷</w:t>
      </w:r>
      <w:r>
        <w:rPr>
          <w:bCs/>
          <w:sz w:val="24"/>
        </w:rPr>
        <w:t>当年天数</w:t>
      </w:r>
    </w:p>
    <w:p w14:paraId="71ACD053" w14:textId="77777777" w:rsidR="007C736D" w:rsidRDefault="00662CFB">
      <w:pPr>
        <w:spacing w:line="360" w:lineRule="auto"/>
        <w:ind w:firstLine="480"/>
        <w:rPr>
          <w:bCs/>
          <w:sz w:val="24"/>
        </w:rPr>
      </w:pPr>
      <w:r>
        <w:rPr>
          <w:bCs/>
          <w:sz w:val="24"/>
        </w:rPr>
        <w:t>H</w:t>
      </w:r>
      <w:r>
        <w:rPr>
          <w:bCs/>
          <w:sz w:val="24"/>
        </w:rPr>
        <w:t>为每日应计提的基金管理费</w:t>
      </w:r>
    </w:p>
    <w:p w14:paraId="6C204E39" w14:textId="77777777" w:rsidR="007C736D" w:rsidRDefault="00662CFB">
      <w:pPr>
        <w:spacing w:line="360" w:lineRule="auto"/>
        <w:ind w:firstLine="480"/>
        <w:rPr>
          <w:bCs/>
          <w:sz w:val="24"/>
        </w:rPr>
      </w:pPr>
      <w:r>
        <w:rPr>
          <w:bCs/>
          <w:sz w:val="24"/>
        </w:rPr>
        <w:t>E</w:t>
      </w:r>
      <w:r>
        <w:rPr>
          <w:bCs/>
          <w:sz w:val="24"/>
        </w:rPr>
        <w:t>为</w:t>
      </w:r>
      <w:r>
        <w:rPr>
          <w:bCs/>
          <w:sz w:val="24"/>
        </w:rPr>
        <w:t>前一日的基金资产净值</w:t>
      </w:r>
    </w:p>
    <w:p w14:paraId="79B518C0" w14:textId="77777777" w:rsidR="007C736D" w:rsidRDefault="00662CFB">
      <w:pPr>
        <w:tabs>
          <w:tab w:val="left" w:pos="1260"/>
        </w:tabs>
        <w:spacing w:line="360" w:lineRule="auto"/>
        <w:ind w:firstLine="480"/>
        <w:rPr>
          <w:rFonts w:ascii="宋体"/>
          <w:sz w:val="24"/>
        </w:rPr>
      </w:pPr>
      <w:r>
        <w:rPr>
          <w:rFonts w:ascii="宋体" w:hAnsi="宋体" w:hint="eastAsia"/>
          <w:sz w:val="24"/>
        </w:rPr>
        <w:t>基金管理费每日计提，按月支付</w:t>
      </w:r>
      <w:r>
        <w:rPr>
          <w:rFonts w:hint="eastAsia"/>
          <w:sz w:val="24"/>
        </w:rPr>
        <w:t>。由基金托管人根据与基金管理人核对一致的财务数据，自动在月初</w:t>
      </w:r>
      <w:r>
        <w:rPr>
          <w:sz w:val="24"/>
        </w:rPr>
        <w:t>5</w:t>
      </w:r>
      <w:r>
        <w:rPr>
          <w:rFonts w:hint="eastAsia"/>
          <w:sz w:val="24"/>
        </w:rPr>
        <w:t>个工作日内、按照指定的账户路径进行资金支付，</w:t>
      </w:r>
      <w:r>
        <w:rPr>
          <w:rFonts w:hint="eastAsia"/>
          <w:bCs/>
          <w:sz w:val="24"/>
        </w:rPr>
        <w:t>基金管理人无需再出具资金划拨指令。</w:t>
      </w:r>
      <w:r>
        <w:rPr>
          <w:rFonts w:ascii="宋体" w:hAnsi="宋体" w:hint="eastAsia"/>
          <w:sz w:val="24"/>
        </w:rPr>
        <w:t>若遇法定节假日、休息日等，支付日期顺延。费用自动扣划后，基金管理人应进行核对，如发现数据不符，及时联系基金托管人协商解决。</w:t>
      </w:r>
    </w:p>
    <w:p w14:paraId="49DF081B" w14:textId="77777777" w:rsidR="007C736D" w:rsidRDefault="00662CFB">
      <w:pPr>
        <w:spacing w:line="360" w:lineRule="auto"/>
        <w:ind w:firstLine="480"/>
        <w:rPr>
          <w:bCs/>
          <w:sz w:val="24"/>
        </w:rPr>
      </w:pPr>
      <w:r>
        <w:rPr>
          <w:bCs/>
          <w:sz w:val="24"/>
        </w:rPr>
        <w:t>2</w:t>
      </w:r>
      <w:r>
        <w:rPr>
          <w:bCs/>
          <w:sz w:val="24"/>
        </w:rPr>
        <w:t>、基金托管人的托管费</w:t>
      </w:r>
    </w:p>
    <w:p w14:paraId="6FAF0FAE" w14:textId="77777777" w:rsidR="007C736D" w:rsidRDefault="00662CFB">
      <w:pPr>
        <w:spacing w:line="360" w:lineRule="auto"/>
        <w:ind w:firstLine="480"/>
        <w:rPr>
          <w:bCs/>
          <w:sz w:val="24"/>
        </w:rPr>
      </w:pPr>
      <w:r>
        <w:rPr>
          <w:bCs/>
          <w:sz w:val="24"/>
        </w:rPr>
        <w:t>本基金</w:t>
      </w:r>
      <w:r>
        <w:rPr>
          <w:rFonts w:hint="eastAsia"/>
          <w:bCs/>
          <w:sz w:val="24"/>
        </w:rPr>
        <w:t>的托管费按前一日基金资产净值的</w:t>
      </w:r>
      <w:r>
        <w:rPr>
          <w:bCs/>
          <w:sz w:val="24"/>
        </w:rPr>
        <w:t>0.20</w:t>
      </w:r>
      <w:r>
        <w:rPr>
          <w:rFonts w:hint="eastAsia"/>
          <w:bCs/>
          <w:sz w:val="24"/>
        </w:rPr>
        <w:t>%</w:t>
      </w:r>
      <w:r>
        <w:rPr>
          <w:rFonts w:hint="eastAsia"/>
          <w:bCs/>
          <w:sz w:val="24"/>
        </w:rPr>
        <w:t>年费率计提。托管</w:t>
      </w:r>
      <w:r>
        <w:rPr>
          <w:bCs/>
          <w:sz w:val="24"/>
        </w:rPr>
        <w:t>费的计</w:t>
      </w:r>
      <w:r>
        <w:rPr>
          <w:bCs/>
          <w:sz w:val="24"/>
        </w:rPr>
        <w:lastRenderedPageBreak/>
        <w:t>算方法如下：</w:t>
      </w:r>
    </w:p>
    <w:p w14:paraId="445816C4" w14:textId="77777777" w:rsidR="007C736D" w:rsidRDefault="00662CFB">
      <w:pPr>
        <w:spacing w:line="360" w:lineRule="auto"/>
        <w:ind w:firstLine="480"/>
        <w:rPr>
          <w:bCs/>
          <w:sz w:val="24"/>
        </w:rPr>
      </w:pPr>
      <w:r>
        <w:rPr>
          <w:bCs/>
          <w:sz w:val="24"/>
        </w:rPr>
        <w:t>H</w:t>
      </w:r>
      <w:r>
        <w:rPr>
          <w:bCs/>
          <w:sz w:val="24"/>
        </w:rPr>
        <w:t>＝</w:t>
      </w:r>
      <w:r>
        <w:rPr>
          <w:bCs/>
          <w:sz w:val="24"/>
        </w:rPr>
        <w:t>E×0.20%÷</w:t>
      </w:r>
      <w:r>
        <w:rPr>
          <w:bCs/>
          <w:sz w:val="24"/>
        </w:rPr>
        <w:t>当年天数</w:t>
      </w:r>
    </w:p>
    <w:p w14:paraId="73E3949F" w14:textId="77777777" w:rsidR="007C736D" w:rsidRDefault="00662CFB">
      <w:pPr>
        <w:spacing w:line="360" w:lineRule="auto"/>
        <w:ind w:firstLine="480"/>
        <w:rPr>
          <w:bCs/>
          <w:sz w:val="24"/>
        </w:rPr>
      </w:pPr>
      <w:r>
        <w:rPr>
          <w:bCs/>
          <w:sz w:val="24"/>
        </w:rPr>
        <w:t>H</w:t>
      </w:r>
      <w:r>
        <w:rPr>
          <w:bCs/>
          <w:sz w:val="24"/>
        </w:rPr>
        <w:t>为每日应计提的基金</w:t>
      </w:r>
      <w:r>
        <w:rPr>
          <w:rFonts w:hint="eastAsia"/>
          <w:bCs/>
          <w:sz w:val="24"/>
        </w:rPr>
        <w:t>托管</w:t>
      </w:r>
      <w:r>
        <w:rPr>
          <w:bCs/>
          <w:sz w:val="24"/>
        </w:rPr>
        <w:t>费</w:t>
      </w:r>
    </w:p>
    <w:p w14:paraId="3ED7C4E9" w14:textId="77777777" w:rsidR="007C736D" w:rsidRDefault="00662CFB">
      <w:pPr>
        <w:spacing w:line="360" w:lineRule="auto"/>
        <w:ind w:firstLine="480"/>
        <w:rPr>
          <w:bCs/>
          <w:sz w:val="24"/>
        </w:rPr>
      </w:pPr>
      <w:r>
        <w:rPr>
          <w:bCs/>
          <w:sz w:val="24"/>
        </w:rPr>
        <w:t>E</w:t>
      </w:r>
      <w:r>
        <w:rPr>
          <w:bCs/>
          <w:sz w:val="24"/>
        </w:rPr>
        <w:t>为前一日的基金资产净值</w:t>
      </w:r>
    </w:p>
    <w:p w14:paraId="483D5DDE" w14:textId="77777777" w:rsidR="007C736D" w:rsidRDefault="00662CFB">
      <w:pPr>
        <w:spacing w:line="360" w:lineRule="auto"/>
        <w:ind w:firstLine="480"/>
        <w:rPr>
          <w:color w:val="000000"/>
          <w:sz w:val="24"/>
        </w:rPr>
      </w:pPr>
      <w:r>
        <w:rPr>
          <w:rFonts w:ascii="宋体" w:hAnsi="宋体" w:hint="eastAsia"/>
          <w:sz w:val="24"/>
        </w:rPr>
        <w:t>基金托管费每日计提，按月支付</w:t>
      </w:r>
      <w:r>
        <w:rPr>
          <w:rFonts w:hint="eastAsia"/>
          <w:sz w:val="24"/>
        </w:rPr>
        <w:t>。由基金托管人根据与基金管理人核对一致的财务数据，自动在月初</w:t>
      </w:r>
      <w:r>
        <w:rPr>
          <w:sz w:val="24"/>
        </w:rPr>
        <w:t>5</w:t>
      </w:r>
      <w:r>
        <w:rPr>
          <w:rFonts w:hint="eastAsia"/>
          <w:sz w:val="24"/>
        </w:rPr>
        <w:t>个工作日内、</w:t>
      </w:r>
      <w:r>
        <w:rPr>
          <w:rFonts w:hint="eastAsia"/>
          <w:bCs/>
          <w:sz w:val="24"/>
        </w:rPr>
        <w:t>按照指定的账户路径进行资金支取，基金管理人无需再出具资金划拨指令</w:t>
      </w:r>
      <w:r>
        <w:rPr>
          <w:rFonts w:hint="eastAsia"/>
          <w:sz w:val="24"/>
        </w:rPr>
        <w:t>。</w:t>
      </w:r>
      <w:r>
        <w:rPr>
          <w:rFonts w:ascii="宋体" w:hAnsi="宋体" w:hint="eastAsia"/>
          <w:sz w:val="24"/>
        </w:rPr>
        <w:t>若遇法定节假日、休息日等，支付日期顺延。费用自动扣划后，基金管理人应进行核对，如发现数据不符，及时联系基金托管人协商解决。</w:t>
      </w:r>
    </w:p>
    <w:p w14:paraId="7E4A536C" w14:textId="77777777" w:rsidR="007C736D" w:rsidRDefault="00662CFB">
      <w:pPr>
        <w:spacing w:line="360" w:lineRule="auto"/>
        <w:ind w:firstLine="480"/>
        <w:rPr>
          <w:bCs/>
          <w:sz w:val="24"/>
        </w:rPr>
      </w:pPr>
      <w:r>
        <w:rPr>
          <w:rFonts w:hint="eastAsia"/>
          <w:bCs/>
          <w:sz w:val="24"/>
        </w:rPr>
        <w:t>3</w:t>
      </w:r>
      <w:r>
        <w:rPr>
          <w:rFonts w:hint="eastAsia"/>
          <w:bCs/>
          <w:sz w:val="24"/>
        </w:rPr>
        <w:t>、</w:t>
      </w:r>
      <w:r>
        <w:rPr>
          <w:rFonts w:hint="eastAsia"/>
          <w:bCs/>
          <w:sz w:val="24"/>
        </w:rPr>
        <w:t xml:space="preserve">C </w:t>
      </w:r>
      <w:r>
        <w:rPr>
          <w:rFonts w:hint="eastAsia"/>
          <w:bCs/>
          <w:sz w:val="24"/>
        </w:rPr>
        <w:t>类基金份额的销售服务费</w:t>
      </w:r>
    </w:p>
    <w:p w14:paraId="0F83060A" w14:textId="77777777" w:rsidR="007C736D" w:rsidRDefault="00662CFB">
      <w:pPr>
        <w:spacing w:line="360" w:lineRule="auto"/>
        <w:ind w:firstLine="480"/>
        <w:rPr>
          <w:bCs/>
          <w:sz w:val="24"/>
        </w:rPr>
      </w:pPr>
      <w:r>
        <w:rPr>
          <w:rFonts w:hint="eastAsia"/>
          <w:bCs/>
          <w:sz w:val="24"/>
        </w:rPr>
        <w:t>本基金</w:t>
      </w:r>
      <w:r>
        <w:rPr>
          <w:rFonts w:hint="eastAsia"/>
          <w:bCs/>
          <w:sz w:val="24"/>
        </w:rPr>
        <w:t xml:space="preserve"> A </w:t>
      </w:r>
      <w:r>
        <w:rPr>
          <w:rFonts w:hint="eastAsia"/>
          <w:bCs/>
          <w:sz w:val="24"/>
        </w:rPr>
        <w:t>类基金份额不收取销售服务费，</w:t>
      </w:r>
      <w:r>
        <w:rPr>
          <w:rFonts w:hint="eastAsia"/>
          <w:bCs/>
          <w:sz w:val="24"/>
        </w:rPr>
        <w:t xml:space="preserve">C </w:t>
      </w:r>
      <w:r>
        <w:rPr>
          <w:rFonts w:hint="eastAsia"/>
          <w:bCs/>
          <w:sz w:val="24"/>
        </w:rPr>
        <w:t>类基金份额的销售服务费按前一日</w:t>
      </w:r>
      <w:r>
        <w:rPr>
          <w:bCs/>
          <w:sz w:val="24"/>
        </w:rPr>
        <w:t>C</w:t>
      </w:r>
      <w:r>
        <w:rPr>
          <w:rFonts w:hint="eastAsia"/>
          <w:bCs/>
          <w:sz w:val="24"/>
        </w:rPr>
        <w:t>类基金份额基金资产净值的</w:t>
      </w:r>
      <w:r>
        <w:rPr>
          <w:rFonts w:hint="eastAsia"/>
          <w:bCs/>
          <w:sz w:val="24"/>
        </w:rPr>
        <w:t>0.</w:t>
      </w:r>
      <w:r>
        <w:rPr>
          <w:bCs/>
          <w:sz w:val="24"/>
        </w:rPr>
        <w:t>6</w:t>
      </w:r>
      <w:r>
        <w:rPr>
          <w:rFonts w:hint="eastAsia"/>
          <w:bCs/>
          <w:sz w:val="24"/>
        </w:rPr>
        <w:t>0%</w:t>
      </w:r>
      <w:r>
        <w:rPr>
          <w:rFonts w:hint="eastAsia"/>
          <w:bCs/>
          <w:sz w:val="24"/>
        </w:rPr>
        <w:t>年费率计提。计算方法如下：</w:t>
      </w:r>
    </w:p>
    <w:p w14:paraId="3FBA6E05" w14:textId="77777777" w:rsidR="007C736D" w:rsidRDefault="00662CFB">
      <w:pPr>
        <w:spacing w:line="360" w:lineRule="auto"/>
        <w:ind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6</w:t>
      </w:r>
      <w:r>
        <w:rPr>
          <w:rFonts w:hint="eastAsia"/>
          <w:bCs/>
          <w:sz w:val="24"/>
        </w:rPr>
        <w:t>0%</w:t>
      </w:r>
      <w:r>
        <w:rPr>
          <w:rFonts w:hint="eastAsia"/>
          <w:bCs/>
          <w:sz w:val="24"/>
        </w:rPr>
        <w:t>÷当年天数</w:t>
      </w:r>
    </w:p>
    <w:p w14:paraId="544FFB09" w14:textId="77777777" w:rsidR="007C736D" w:rsidRDefault="00662CFB">
      <w:pPr>
        <w:spacing w:line="360" w:lineRule="auto"/>
        <w:ind w:firstLine="480"/>
        <w:rPr>
          <w:bCs/>
          <w:sz w:val="24"/>
        </w:rPr>
      </w:pPr>
      <w:r>
        <w:rPr>
          <w:rFonts w:hint="eastAsia"/>
          <w:bCs/>
          <w:sz w:val="24"/>
        </w:rPr>
        <w:t xml:space="preserve">H </w:t>
      </w:r>
      <w:r>
        <w:rPr>
          <w:rFonts w:hint="eastAsia"/>
          <w:bCs/>
          <w:sz w:val="24"/>
        </w:rPr>
        <w:t>为</w:t>
      </w:r>
      <w:r>
        <w:rPr>
          <w:rFonts w:hint="eastAsia"/>
          <w:bCs/>
          <w:sz w:val="24"/>
        </w:rPr>
        <w:t>C</w:t>
      </w:r>
      <w:r>
        <w:rPr>
          <w:rFonts w:hint="eastAsia"/>
          <w:bCs/>
          <w:sz w:val="24"/>
        </w:rPr>
        <w:t>类基金份额每</w:t>
      </w:r>
      <w:r>
        <w:rPr>
          <w:rFonts w:hint="eastAsia"/>
          <w:bCs/>
          <w:sz w:val="24"/>
        </w:rPr>
        <w:t>日应计提的销售服务费</w:t>
      </w:r>
    </w:p>
    <w:p w14:paraId="544C6C5B" w14:textId="77777777" w:rsidR="007C736D" w:rsidRDefault="00662CFB">
      <w:pPr>
        <w:spacing w:line="360" w:lineRule="auto"/>
        <w:ind w:firstLine="480"/>
        <w:rPr>
          <w:bCs/>
          <w:sz w:val="24"/>
        </w:rPr>
      </w:pPr>
      <w:r>
        <w:rPr>
          <w:rFonts w:hint="eastAsia"/>
          <w:bCs/>
          <w:sz w:val="24"/>
        </w:rPr>
        <w:t xml:space="preserve">E </w:t>
      </w:r>
      <w:r>
        <w:rPr>
          <w:rFonts w:hint="eastAsia"/>
          <w:bCs/>
          <w:sz w:val="24"/>
        </w:rPr>
        <w:t>为</w:t>
      </w:r>
      <w:r>
        <w:rPr>
          <w:rFonts w:hint="eastAsia"/>
          <w:bCs/>
          <w:sz w:val="24"/>
        </w:rPr>
        <w:t>C</w:t>
      </w:r>
      <w:r>
        <w:rPr>
          <w:rFonts w:hint="eastAsia"/>
          <w:bCs/>
          <w:sz w:val="24"/>
        </w:rPr>
        <w:t>类基金份额前一日基金资产净值</w:t>
      </w:r>
    </w:p>
    <w:p w14:paraId="0C26E32B" w14:textId="77777777" w:rsidR="007C736D" w:rsidRDefault="00662CFB">
      <w:pPr>
        <w:spacing w:line="360" w:lineRule="auto"/>
        <w:ind w:firstLine="480"/>
        <w:rPr>
          <w:color w:val="000000"/>
          <w:sz w:val="24"/>
        </w:rPr>
      </w:pPr>
      <w:r>
        <w:rPr>
          <w:rFonts w:hint="eastAsia"/>
          <w:bCs/>
          <w:sz w:val="24"/>
        </w:rPr>
        <w:t xml:space="preserve">C </w:t>
      </w:r>
      <w:r>
        <w:rPr>
          <w:rFonts w:hint="eastAsia"/>
          <w:bCs/>
          <w:sz w:val="24"/>
        </w:rPr>
        <w:t>类基金份额的</w:t>
      </w:r>
      <w:r>
        <w:rPr>
          <w:rFonts w:ascii="宋体" w:hAnsi="宋体" w:hint="eastAsia"/>
          <w:sz w:val="24"/>
        </w:rPr>
        <w:t>基金销售服务费每日计提，按月支付</w:t>
      </w:r>
      <w:r>
        <w:rPr>
          <w:rFonts w:hint="eastAsia"/>
          <w:bCs/>
          <w:sz w:val="24"/>
        </w:rPr>
        <w:t>。由基金托管人根据与基金管理人核对一致的财务数据，自动在月初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w:t>
      </w:r>
      <w:r>
        <w:rPr>
          <w:rFonts w:ascii="宋体" w:hAnsi="宋体" w:hint="eastAsia"/>
          <w:sz w:val="24"/>
        </w:rPr>
        <w:t>若遇法定节假日、休息日等，支付日期顺延。费用自动扣划后，基金管理人应进行核对，如发现数据不符，及时联系基金托管人协商解决。</w:t>
      </w:r>
    </w:p>
    <w:p w14:paraId="2FEB26BE" w14:textId="77777777" w:rsidR="007C736D" w:rsidRDefault="00662CFB">
      <w:pPr>
        <w:spacing w:line="360" w:lineRule="auto"/>
        <w:ind w:firstLine="480"/>
        <w:rPr>
          <w:bCs/>
          <w:sz w:val="24"/>
        </w:rPr>
      </w:pPr>
      <w:r>
        <w:rPr>
          <w:bCs/>
          <w:sz w:val="24"/>
        </w:rPr>
        <w:t>上述</w:t>
      </w:r>
      <w:r>
        <w:rPr>
          <w:rFonts w:hint="eastAsia"/>
          <w:bCs/>
          <w:sz w:val="24"/>
        </w:rPr>
        <w:t>“</w:t>
      </w:r>
      <w:r>
        <w:rPr>
          <w:bCs/>
          <w:sz w:val="24"/>
        </w:rPr>
        <w:t>一、基金费用的种类</w:t>
      </w:r>
      <w:r>
        <w:rPr>
          <w:rFonts w:hint="eastAsia"/>
          <w:bCs/>
          <w:sz w:val="24"/>
        </w:rPr>
        <w:t>”</w:t>
      </w:r>
      <w:r>
        <w:rPr>
          <w:bCs/>
          <w:sz w:val="24"/>
        </w:rPr>
        <w:t>中第</w:t>
      </w:r>
      <w:r>
        <w:rPr>
          <w:rFonts w:hint="eastAsia"/>
          <w:bCs/>
          <w:sz w:val="24"/>
        </w:rPr>
        <w:t>4</w:t>
      </w:r>
      <w:r>
        <w:rPr>
          <w:bCs/>
          <w:sz w:val="24"/>
        </w:rPr>
        <w:t>－</w:t>
      </w:r>
      <w:r>
        <w:rPr>
          <w:rFonts w:hint="eastAsia"/>
          <w:bCs/>
          <w:sz w:val="24"/>
        </w:rPr>
        <w:t>11</w:t>
      </w:r>
      <w:r>
        <w:rPr>
          <w:bCs/>
          <w:sz w:val="24"/>
        </w:rPr>
        <w:t>项费用，根据有关法规及相应协议规定，按费用实际支出金额列入当期费用，由基金托管人从基金财产中支付。</w:t>
      </w:r>
    </w:p>
    <w:p w14:paraId="41681D98" w14:textId="77777777" w:rsidR="007C736D" w:rsidRDefault="00662CFB">
      <w:pPr>
        <w:spacing w:line="360" w:lineRule="auto"/>
        <w:ind w:firstLine="480"/>
        <w:rPr>
          <w:bCs/>
          <w:sz w:val="24"/>
        </w:rPr>
      </w:pPr>
      <w:r>
        <w:rPr>
          <w:bCs/>
          <w:sz w:val="24"/>
        </w:rPr>
        <w:t>三</w:t>
      </w:r>
      <w:r>
        <w:rPr>
          <w:bCs/>
          <w:sz w:val="24"/>
        </w:rPr>
        <w:t>、不列入基金费用的项目</w:t>
      </w:r>
    </w:p>
    <w:p w14:paraId="13544F02" w14:textId="77777777" w:rsidR="007C736D" w:rsidRDefault="00662CFB">
      <w:pPr>
        <w:spacing w:line="360" w:lineRule="auto"/>
        <w:ind w:firstLine="480"/>
        <w:rPr>
          <w:bCs/>
          <w:sz w:val="24"/>
        </w:rPr>
      </w:pPr>
      <w:r>
        <w:rPr>
          <w:bCs/>
          <w:sz w:val="24"/>
        </w:rPr>
        <w:t>下列费用不列入基金费用：</w:t>
      </w:r>
    </w:p>
    <w:p w14:paraId="22DCB605" w14:textId="77777777" w:rsidR="007C736D" w:rsidRDefault="00662CFB">
      <w:pPr>
        <w:spacing w:line="360" w:lineRule="auto"/>
        <w:ind w:firstLine="480"/>
        <w:rPr>
          <w:bCs/>
          <w:sz w:val="24"/>
        </w:rPr>
      </w:pPr>
      <w:r>
        <w:rPr>
          <w:bCs/>
          <w:sz w:val="24"/>
        </w:rPr>
        <w:t>1</w:t>
      </w:r>
      <w:r>
        <w:rPr>
          <w:bCs/>
          <w:sz w:val="24"/>
        </w:rPr>
        <w:t>、基金管理人和基金托管人因未履行或未完全履行义务导致的费用支出或基金财产的损失；</w:t>
      </w:r>
    </w:p>
    <w:p w14:paraId="02F1836F" w14:textId="77777777" w:rsidR="007C736D" w:rsidRDefault="00662CFB">
      <w:pPr>
        <w:spacing w:line="360" w:lineRule="auto"/>
        <w:ind w:firstLine="480"/>
        <w:rPr>
          <w:bCs/>
          <w:sz w:val="24"/>
        </w:rPr>
      </w:pPr>
      <w:r>
        <w:rPr>
          <w:bCs/>
          <w:sz w:val="24"/>
        </w:rPr>
        <w:t>2</w:t>
      </w:r>
      <w:r>
        <w:rPr>
          <w:bCs/>
          <w:sz w:val="24"/>
        </w:rPr>
        <w:t>、基金管理人和基金托管人处理与基金运作无关的事项发生的费用；</w:t>
      </w:r>
    </w:p>
    <w:p w14:paraId="66D4A19A" w14:textId="77777777" w:rsidR="007C736D" w:rsidRDefault="00662CFB">
      <w:pPr>
        <w:spacing w:line="360" w:lineRule="auto"/>
        <w:ind w:firstLine="480"/>
        <w:rPr>
          <w:bCs/>
          <w:sz w:val="24"/>
        </w:rPr>
      </w:pPr>
      <w:r>
        <w:rPr>
          <w:bCs/>
          <w:sz w:val="24"/>
        </w:rPr>
        <w:t>3</w:t>
      </w:r>
      <w:r>
        <w:rPr>
          <w:bCs/>
          <w:sz w:val="24"/>
        </w:rPr>
        <w:t>、《基金合同》生效前的相关费用；</w:t>
      </w:r>
    </w:p>
    <w:p w14:paraId="6B743507" w14:textId="77777777" w:rsidR="007C736D" w:rsidRDefault="00662CFB">
      <w:pPr>
        <w:spacing w:line="360" w:lineRule="auto"/>
        <w:ind w:firstLine="480"/>
        <w:rPr>
          <w:bCs/>
          <w:sz w:val="24"/>
        </w:rPr>
      </w:pPr>
      <w:r>
        <w:rPr>
          <w:bCs/>
          <w:sz w:val="24"/>
        </w:rPr>
        <w:t>4</w:t>
      </w:r>
      <w:r>
        <w:rPr>
          <w:bCs/>
          <w:sz w:val="24"/>
        </w:rPr>
        <w:t>、其他根据相关法律法规及中国证监会的有关规定不得列入基金费用的项</w:t>
      </w:r>
      <w:r>
        <w:rPr>
          <w:bCs/>
          <w:sz w:val="24"/>
        </w:rPr>
        <w:lastRenderedPageBreak/>
        <w:t>目。</w:t>
      </w:r>
      <w:bookmarkStart w:id="351" w:name="_Hlt88827255"/>
      <w:bookmarkEnd w:id="351"/>
    </w:p>
    <w:p w14:paraId="7E895BBA" w14:textId="77777777" w:rsidR="007C736D" w:rsidRDefault="00662CFB">
      <w:pPr>
        <w:spacing w:line="360" w:lineRule="auto"/>
        <w:ind w:firstLine="480"/>
        <w:rPr>
          <w:bCs/>
          <w:sz w:val="24"/>
        </w:rPr>
      </w:pPr>
      <w:r>
        <w:rPr>
          <w:bCs/>
          <w:sz w:val="24"/>
        </w:rPr>
        <w:t>四、</w:t>
      </w:r>
      <w:r>
        <w:rPr>
          <w:rFonts w:hint="eastAsia"/>
          <w:bCs/>
          <w:sz w:val="24"/>
        </w:rPr>
        <w:t>实施侧袋机制期间的基金费用</w:t>
      </w:r>
      <w:r>
        <w:rPr>
          <w:rFonts w:hint="eastAsia"/>
          <w:bCs/>
          <w:sz w:val="24"/>
        </w:rPr>
        <w:t xml:space="preserve"> </w:t>
      </w:r>
    </w:p>
    <w:p w14:paraId="0761942E" w14:textId="77777777" w:rsidR="007C736D" w:rsidRDefault="00662CFB">
      <w:pPr>
        <w:spacing w:line="360" w:lineRule="auto"/>
        <w:ind w:firstLine="48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本基金实施侧袋机制的，与侧袋账户有关的费用可以从侧袋账户中列支，但应待侧袋账户资产变现后方可列支，有关费用可酌情收取或减免，但不得收取管理费，详见招募说明书的规定或相关公告</w:t>
      </w:r>
      <w:r>
        <w:rPr>
          <w:rFonts w:hint="eastAsia"/>
          <w:bCs/>
          <w:sz w:val="24"/>
        </w:rPr>
        <w:t>。</w:t>
      </w:r>
    </w:p>
    <w:p w14:paraId="4A15B576" w14:textId="77777777" w:rsidR="007C736D" w:rsidRDefault="00662CFB">
      <w:pPr>
        <w:spacing w:line="360" w:lineRule="auto"/>
        <w:ind w:firstLine="480"/>
        <w:rPr>
          <w:bCs/>
          <w:sz w:val="24"/>
        </w:rPr>
      </w:pPr>
      <w:r>
        <w:rPr>
          <w:rFonts w:hint="eastAsia"/>
          <w:bCs/>
          <w:sz w:val="24"/>
        </w:rPr>
        <w:t>五</w:t>
      </w:r>
      <w:r>
        <w:rPr>
          <w:bCs/>
          <w:sz w:val="24"/>
        </w:rPr>
        <w:t>、基金税收</w:t>
      </w:r>
    </w:p>
    <w:p w14:paraId="1CA18096" w14:textId="77777777" w:rsidR="007C736D" w:rsidRDefault="00662CFB">
      <w:pPr>
        <w:spacing w:line="360" w:lineRule="auto"/>
        <w:ind w:firstLine="480"/>
        <w:rPr>
          <w:bCs/>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4CD2505F" w14:textId="77777777" w:rsidR="007C736D" w:rsidRDefault="00662CFB">
      <w:pPr>
        <w:pStyle w:val="1110"/>
        <w:spacing w:before="0" w:after="0"/>
        <w:jc w:val="center"/>
        <w:rPr>
          <w:rFonts w:ascii="Times New Roman"/>
          <w:b w:val="0"/>
          <w:color w:val="auto"/>
          <w:sz w:val="30"/>
        </w:rPr>
      </w:pPr>
      <w:bookmarkStart w:id="352" w:name="_Toc93226149"/>
      <w:bookmarkStart w:id="353" w:name="_Toc92662707"/>
      <w:bookmarkStart w:id="354" w:name="_Toc141703896"/>
      <w:bookmarkStart w:id="355" w:name="_Toc128310499"/>
      <w:bookmarkStart w:id="356" w:name="_Toc22552"/>
      <w:bookmarkStart w:id="357" w:name="_Toc139991746"/>
      <w:r>
        <w:rPr>
          <w:rFonts w:ascii="Times New Roman"/>
          <w:b w:val="0"/>
          <w:color w:val="auto"/>
          <w:sz w:val="30"/>
        </w:rPr>
        <w:br w:type="page"/>
      </w:r>
      <w:bookmarkStart w:id="358" w:name="_Toc12761"/>
      <w:bookmarkStart w:id="359" w:name="_Toc3656"/>
      <w:bookmarkStart w:id="360" w:name="_Toc20052"/>
      <w:bookmarkStart w:id="361" w:name="_Toc21829"/>
      <w:bookmarkStart w:id="362" w:name="_Toc15525"/>
      <w:bookmarkStart w:id="363" w:name="_Toc25072225"/>
      <w:bookmarkStart w:id="364" w:name="_Toc19558"/>
      <w:bookmarkStart w:id="365" w:name="_Toc136360685"/>
      <w:bookmarkStart w:id="366" w:name="_Toc178"/>
      <w:bookmarkStart w:id="367" w:name="_Toc25883"/>
      <w:bookmarkStart w:id="368" w:name="_Toc1617"/>
      <w:r>
        <w:rPr>
          <w:rFonts w:ascii="Times New Roman" w:hint="eastAsia"/>
          <w:b w:val="0"/>
          <w:color w:val="auto"/>
          <w:sz w:val="30"/>
        </w:rPr>
        <w:lastRenderedPageBreak/>
        <w:t>第十六部分</w:t>
      </w:r>
      <w:r>
        <w:rPr>
          <w:rFonts w:ascii="Times New Roman" w:hint="eastAsia"/>
          <w:b w:val="0"/>
          <w:color w:val="auto"/>
          <w:sz w:val="30"/>
        </w:rPr>
        <w:t xml:space="preserve"> </w:t>
      </w:r>
      <w:r>
        <w:rPr>
          <w:rFonts w:ascii="Times New Roman"/>
          <w:b w:val="0"/>
          <w:color w:val="auto"/>
          <w:sz w:val="30"/>
        </w:rPr>
        <w:t xml:space="preserve"> </w:t>
      </w:r>
      <w:r>
        <w:rPr>
          <w:rFonts w:ascii="Times New Roman" w:hint="eastAsia"/>
          <w:b w:val="0"/>
          <w:color w:val="auto"/>
          <w:sz w:val="30"/>
        </w:rPr>
        <w:t>基金</w:t>
      </w:r>
      <w:bookmarkEnd w:id="352"/>
      <w:bookmarkEnd w:id="353"/>
      <w:r>
        <w:rPr>
          <w:rFonts w:ascii="Times New Roman" w:hint="eastAsia"/>
          <w:b w:val="0"/>
          <w:color w:val="auto"/>
          <w:sz w:val="30"/>
        </w:rPr>
        <w:t>的收益与分配</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6A0E7421" w14:textId="77777777" w:rsidR="007C736D" w:rsidRDefault="00662CFB">
      <w:pPr>
        <w:spacing w:line="360" w:lineRule="auto"/>
        <w:ind w:firstLine="540"/>
        <w:rPr>
          <w:bCs/>
          <w:sz w:val="24"/>
        </w:rPr>
      </w:pPr>
      <w:r>
        <w:rPr>
          <w:bCs/>
          <w:sz w:val="24"/>
        </w:rPr>
        <w:t>一、基金利润的构成</w:t>
      </w:r>
    </w:p>
    <w:p w14:paraId="3BB4EE4C" w14:textId="77777777" w:rsidR="007C736D" w:rsidRDefault="00662CFB">
      <w:pPr>
        <w:spacing w:line="360" w:lineRule="auto"/>
        <w:ind w:firstLine="540"/>
        <w:rPr>
          <w:bCs/>
          <w:sz w:val="24"/>
        </w:rPr>
      </w:pPr>
      <w:r>
        <w:rPr>
          <w:bCs/>
          <w:sz w:val="24"/>
        </w:rPr>
        <w:t>基金利润指基金利息收入、投资收益、公允价值变动收益和其他收入扣除相关费用后的余额，基金已实现收益指基金利润减去公允价值变动</w:t>
      </w:r>
      <w:r>
        <w:rPr>
          <w:rFonts w:hint="eastAsia"/>
          <w:bCs/>
          <w:sz w:val="24"/>
        </w:rPr>
        <w:t>损</w:t>
      </w:r>
      <w:r>
        <w:rPr>
          <w:bCs/>
          <w:sz w:val="24"/>
        </w:rPr>
        <w:t>益后的余额。</w:t>
      </w:r>
    </w:p>
    <w:p w14:paraId="3D7A9E97" w14:textId="77777777" w:rsidR="007C736D" w:rsidRDefault="00662CFB">
      <w:pPr>
        <w:spacing w:line="360" w:lineRule="auto"/>
        <w:ind w:firstLine="540"/>
        <w:rPr>
          <w:bCs/>
          <w:sz w:val="24"/>
        </w:rPr>
      </w:pPr>
      <w:r>
        <w:rPr>
          <w:bCs/>
          <w:sz w:val="24"/>
        </w:rPr>
        <w:t>二、基金可供分配利润</w:t>
      </w:r>
    </w:p>
    <w:p w14:paraId="03FBDC68" w14:textId="77777777" w:rsidR="007C736D" w:rsidRDefault="00662CFB">
      <w:pPr>
        <w:spacing w:line="360" w:lineRule="auto"/>
        <w:ind w:firstLine="540"/>
        <w:rPr>
          <w:bCs/>
          <w:sz w:val="24"/>
        </w:rPr>
      </w:pPr>
      <w:r>
        <w:rPr>
          <w:bCs/>
          <w:sz w:val="24"/>
        </w:rPr>
        <w:t>基金可供分配利润指截至收益分配基准日基金未分配利润与未分配利润中已实现收益的孰低数。</w:t>
      </w:r>
    </w:p>
    <w:p w14:paraId="5D1343EC" w14:textId="77777777" w:rsidR="007C736D" w:rsidRDefault="00662CFB">
      <w:pPr>
        <w:spacing w:line="360" w:lineRule="auto"/>
        <w:ind w:firstLine="540"/>
        <w:rPr>
          <w:bCs/>
          <w:sz w:val="24"/>
        </w:rPr>
      </w:pPr>
      <w:r>
        <w:rPr>
          <w:bCs/>
          <w:sz w:val="24"/>
        </w:rPr>
        <w:t>三、基金收益分配原则</w:t>
      </w:r>
    </w:p>
    <w:p w14:paraId="0D2C681A" w14:textId="77777777" w:rsidR="007C736D" w:rsidRDefault="00662CFB">
      <w:pPr>
        <w:spacing w:line="360" w:lineRule="auto"/>
        <w:ind w:firstLine="540"/>
        <w:rPr>
          <w:bCs/>
          <w:sz w:val="24"/>
        </w:rPr>
      </w:pPr>
      <w:r>
        <w:rPr>
          <w:rFonts w:hint="eastAsia"/>
          <w:bCs/>
          <w:sz w:val="24"/>
        </w:rPr>
        <w:t>1</w:t>
      </w:r>
      <w:r>
        <w:rPr>
          <w:bCs/>
          <w:sz w:val="24"/>
        </w:rPr>
        <w:t>、本基金收益分配方式分两种：现金分红与红利再投资，投资者可选择现金红利或将现金红利自动转为</w:t>
      </w:r>
      <w:r>
        <w:rPr>
          <w:rFonts w:hint="eastAsia"/>
          <w:bCs/>
          <w:sz w:val="24"/>
        </w:rPr>
        <w:t>相应</w:t>
      </w:r>
      <w:r>
        <w:rPr>
          <w:bCs/>
          <w:sz w:val="24"/>
        </w:rPr>
        <w:t>类别的基金份额进行再投资；若投资者不选择，本基金默认的收益分配方式是现金分红；</w:t>
      </w:r>
      <w:r>
        <w:rPr>
          <w:rFonts w:hint="eastAsia"/>
          <w:bCs/>
          <w:sz w:val="24"/>
        </w:rPr>
        <w:t>基金份额持有人可对各类基金份额分别选择不同的分红方式。选择采取红利再投资形式的，红利再投资的份额免收申购费；</w:t>
      </w:r>
    </w:p>
    <w:p w14:paraId="59C38EA3" w14:textId="77777777" w:rsidR="007C736D" w:rsidRDefault="00662CFB">
      <w:pPr>
        <w:spacing w:line="360" w:lineRule="auto"/>
        <w:ind w:firstLine="540"/>
        <w:rPr>
          <w:bCs/>
          <w:sz w:val="24"/>
        </w:rPr>
      </w:pPr>
      <w:r>
        <w:rPr>
          <w:rFonts w:hint="eastAsia"/>
          <w:bCs/>
          <w:sz w:val="24"/>
        </w:rPr>
        <w:t>2</w:t>
      </w:r>
      <w:r>
        <w:rPr>
          <w:bCs/>
          <w:sz w:val="24"/>
        </w:rPr>
        <w:t>、基金收益分配后</w:t>
      </w:r>
      <w:r>
        <w:rPr>
          <w:rFonts w:hint="eastAsia"/>
          <w:bCs/>
          <w:sz w:val="24"/>
        </w:rPr>
        <w:t>各类</w:t>
      </w:r>
      <w:r>
        <w:rPr>
          <w:bCs/>
          <w:sz w:val="24"/>
        </w:rPr>
        <w:t>基金份额净值不能低于面值</w:t>
      </w:r>
      <w:r>
        <w:rPr>
          <w:rFonts w:hint="eastAsia"/>
          <w:bCs/>
          <w:sz w:val="24"/>
        </w:rPr>
        <w:t>，</w:t>
      </w:r>
      <w:r>
        <w:rPr>
          <w:bCs/>
          <w:sz w:val="24"/>
        </w:rPr>
        <w:t>即基金收益分配基准日的</w:t>
      </w:r>
      <w:bookmarkStart w:id="369" w:name="_Hlk60133755"/>
      <w:r>
        <w:rPr>
          <w:rFonts w:hint="eastAsia"/>
          <w:bCs/>
          <w:sz w:val="24"/>
        </w:rPr>
        <w:t>任一类</w:t>
      </w:r>
      <w:bookmarkEnd w:id="369"/>
      <w:r>
        <w:rPr>
          <w:bCs/>
          <w:sz w:val="24"/>
        </w:rPr>
        <w:t>基金份额净值减去每单位</w:t>
      </w:r>
      <w:bookmarkStart w:id="370" w:name="_Hlk60133758"/>
      <w:r>
        <w:rPr>
          <w:rFonts w:hint="eastAsia"/>
          <w:bCs/>
          <w:sz w:val="24"/>
        </w:rPr>
        <w:t>该类</w:t>
      </w:r>
      <w:bookmarkEnd w:id="370"/>
      <w:r>
        <w:rPr>
          <w:bCs/>
          <w:sz w:val="24"/>
        </w:rPr>
        <w:t>基金份额收益分配金额后不能低于面值</w:t>
      </w:r>
      <w:r>
        <w:rPr>
          <w:rFonts w:hint="eastAsia"/>
          <w:bCs/>
          <w:sz w:val="24"/>
        </w:rPr>
        <w:t>；</w:t>
      </w:r>
    </w:p>
    <w:p w14:paraId="39206B8A" w14:textId="77777777" w:rsidR="007C736D" w:rsidRDefault="00662CFB">
      <w:pPr>
        <w:spacing w:line="360" w:lineRule="auto"/>
        <w:ind w:firstLine="540"/>
        <w:rPr>
          <w:bCs/>
          <w:sz w:val="24"/>
        </w:rPr>
      </w:pPr>
      <w:r>
        <w:rPr>
          <w:rFonts w:hint="eastAsia"/>
          <w:bCs/>
          <w:sz w:val="24"/>
        </w:rPr>
        <w:t>3</w:t>
      </w:r>
      <w:r>
        <w:rPr>
          <w:rFonts w:hint="eastAsia"/>
          <w:bCs/>
          <w:sz w:val="24"/>
        </w:rPr>
        <w:t>、由于本基金</w:t>
      </w:r>
      <w:r>
        <w:rPr>
          <w:rFonts w:hint="eastAsia"/>
          <w:bCs/>
          <w:sz w:val="24"/>
        </w:rPr>
        <w:t>A</w:t>
      </w:r>
      <w:r>
        <w:rPr>
          <w:rFonts w:hint="eastAsia"/>
          <w:bCs/>
          <w:sz w:val="24"/>
        </w:rPr>
        <w:t>类基金份额不收取销售服务费，</w:t>
      </w:r>
      <w:r>
        <w:rPr>
          <w:rFonts w:hint="eastAsia"/>
          <w:bCs/>
          <w:sz w:val="24"/>
        </w:rPr>
        <w:t xml:space="preserve">C </w:t>
      </w:r>
      <w:r>
        <w:rPr>
          <w:rFonts w:hint="eastAsia"/>
          <w:bCs/>
          <w:sz w:val="24"/>
        </w:rPr>
        <w:t>类基金份额收取销售</w:t>
      </w:r>
      <w:r>
        <w:rPr>
          <w:rFonts w:hint="eastAsia"/>
          <w:bCs/>
          <w:sz w:val="24"/>
        </w:rPr>
        <w:t>服务费，各基金份额类别对应的可供分配利润将有所不同。本基金同一类别每一基金份额享有同等分配权；</w:t>
      </w:r>
    </w:p>
    <w:p w14:paraId="4E9DD836" w14:textId="77777777" w:rsidR="007C736D" w:rsidRDefault="00662CFB">
      <w:pPr>
        <w:spacing w:line="360" w:lineRule="auto"/>
        <w:ind w:firstLine="540"/>
        <w:rPr>
          <w:bCs/>
          <w:sz w:val="24"/>
        </w:rPr>
      </w:pPr>
      <w:r>
        <w:rPr>
          <w:rFonts w:hint="eastAsia"/>
          <w:bCs/>
          <w:sz w:val="24"/>
        </w:rPr>
        <w:t>4</w:t>
      </w:r>
      <w:r>
        <w:rPr>
          <w:bCs/>
          <w:sz w:val="24"/>
        </w:rPr>
        <w:t>、法律法规或监管机关另有规定的，从其规定。</w:t>
      </w:r>
    </w:p>
    <w:p w14:paraId="5480CB6C" w14:textId="77777777" w:rsidR="007C736D" w:rsidRDefault="00662CFB">
      <w:pPr>
        <w:spacing w:line="360" w:lineRule="auto"/>
        <w:ind w:firstLine="540"/>
        <w:rPr>
          <w:bCs/>
          <w:sz w:val="24"/>
        </w:rPr>
      </w:pPr>
      <w:r>
        <w:rPr>
          <w:rFonts w:hint="eastAsia"/>
          <w:bCs/>
          <w:sz w:val="24"/>
        </w:rPr>
        <w:t>在</w:t>
      </w:r>
      <w:bookmarkStart w:id="371" w:name="_Hlk60133764"/>
      <w:r>
        <w:rPr>
          <w:rFonts w:hint="eastAsia"/>
          <w:bCs/>
          <w:sz w:val="24"/>
        </w:rPr>
        <w:t>不违反</w:t>
      </w:r>
      <w:bookmarkEnd w:id="371"/>
      <w:r>
        <w:rPr>
          <w:rFonts w:hint="eastAsia"/>
          <w:bCs/>
          <w:sz w:val="24"/>
        </w:rPr>
        <w:t>法律法规规定及基金合同约定，并对基金份额持有人利益无实质不利影响的前提下，基金管理人与基金托管人协商一致后可对基金收益分配原则和支付方式进行调整，不需召开基金份额持有人大会，但应于变更实施日前在规定媒介及时公告。</w:t>
      </w:r>
    </w:p>
    <w:p w14:paraId="41C4BA72" w14:textId="77777777" w:rsidR="007C736D" w:rsidRDefault="00662CFB">
      <w:pPr>
        <w:spacing w:line="360" w:lineRule="auto"/>
        <w:ind w:firstLine="540"/>
        <w:rPr>
          <w:bCs/>
          <w:sz w:val="24"/>
        </w:rPr>
      </w:pPr>
      <w:r>
        <w:rPr>
          <w:bCs/>
          <w:sz w:val="24"/>
        </w:rPr>
        <w:t>四、收益分配方案</w:t>
      </w:r>
    </w:p>
    <w:p w14:paraId="659E11C1" w14:textId="77777777" w:rsidR="007C736D" w:rsidRDefault="00662CFB">
      <w:pPr>
        <w:spacing w:line="360" w:lineRule="auto"/>
        <w:ind w:firstLine="540"/>
        <w:rPr>
          <w:bCs/>
          <w:sz w:val="24"/>
        </w:rPr>
      </w:pPr>
      <w:r>
        <w:rPr>
          <w:bCs/>
          <w:sz w:val="24"/>
        </w:rPr>
        <w:t>基金收益分配方案中应载明截止收益分配基准日的可供分配利润、基金收益分配对象、分配时间、分配数额及比例、分配方式等内容。</w:t>
      </w:r>
    </w:p>
    <w:p w14:paraId="495104EF" w14:textId="77777777" w:rsidR="007C736D" w:rsidRDefault="00662CFB">
      <w:pPr>
        <w:spacing w:line="360" w:lineRule="auto"/>
        <w:ind w:firstLine="540"/>
        <w:rPr>
          <w:bCs/>
          <w:sz w:val="24"/>
        </w:rPr>
      </w:pPr>
      <w:r>
        <w:rPr>
          <w:bCs/>
          <w:sz w:val="24"/>
        </w:rPr>
        <w:t>五、收益分</w:t>
      </w:r>
      <w:r>
        <w:rPr>
          <w:bCs/>
          <w:sz w:val="24"/>
        </w:rPr>
        <w:t>配方案的确定、公告与实施</w:t>
      </w:r>
    </w:p>
    <w:p w14:paraId="62D94599" w14:textId="77777777" w:rsidR="007C736D" w:rsidRDefault="00662CFB">
      <w:pPr>
        <w:spacing w:line="360" w:lineRule="auto"/>
        <w:ind w:firstLine="540"/>
        <w:rPr>
          <w:bCs/>
          <w:sz w:val="24"/>
        </w:rPr>
      </w:pPr>
      <w:r>
        <w:rPr>
          <w:bCs/>
          <w:sz w:val="24"/>
        </w:rPr>
        <w:lastRenderedPageBreak/>
        <w:t>本基金收益分配方案由基金管理人拟定，并由基金托管人复核，</w:t>
      </w:r>
      <w:r>
        <w:rPr>
          <w:rFonts w:hint="eastAsia"/>
          <w:sz w:val="24"/>
        </w:rPr>
        <w:t>依照《</w:t>
      </w:r>
      <w:r>
        <w:rPr>
          <w:sz w:val="24"/>
        </w:rPr>
        <w:t>信息披露办法》的有关规定</w:t>
      </w:r>
      <w:r>
        <w:rPr>
          <w:bCs/>
          <w:sz w:val="24"/>
        </w:rPr>
        <w:t>在规定媒介公告。</w:t>
      </w:r>
    </w:p>
    <w:p w14:paraId="774EB332" w14:textId="77777777" w:rsidR="007C736D" w:rsidRDefault="00662CFB">
      <w:pPr>
        <w:spacing w:line="360" w:lineRule="auto"/>
        <w:ind w:firstLine="540"/>
        <w:rPr>
          <w:bCs/>
          <w:sz w:val="24"/>
        </w:rPr>
      </w:pPr>
      <w:r>
        <w:rPr>
          <w:bCs/>
          <w:sz w:val="24"/>
        </w:rPr>
        <w:t>六、基金收益分配中发生的费用</w:t>
      </w:r>
    </w:p>
    <w:p w14:paraId="264E37EC" w14:textId="77777777" w:rsidR="007C736D" w:rsidRDefault="00662CFB">
      <w:pPr>
        <w:spacing w:line="360" w:lineRule="auto"/>
        <w:ind w:firstLine="540"/>
        <w:rPr>
          <w:bCs/>
          <w:sz w:val="24"/>
        </w:rPr>
      </w:pPr>
      <w:r>
        <w:rPr>
          <w:bCs/>
          <w:sz w:val="24"/>
        </w:rPr>
        <w:t>基金收益分配时所发生的银行转账或其他手续费用由投资者自行承担。</w:t>
      </w:r>
      <w:r>
        <w:rPr>
          <w:rFonts w:hint="eastAsia"/>
          <w:bCs/>
          <w:sz w:val="24"/>
        </w:rPr>
        <w:t>当投资者的现金红利小于一定金额，不足以支付银行转账或其他手续费用时，基金登记机构可将基金份额持有人的现金红利自动转为相应类别</w:t>
      </w:r>
      <w:r>
        <w:rPr>
          <w:bCs/>
          <w:sz w:val="24"/>
        </w:rPr>
        <w:t>的</w:t>
      </w:r>
      <w:r>
        <w:rPr>
          <w:rFonts w:hint="eastAsia"/>
          <w:bCs/>
          <w:sz w:val="24"/>
        </w:rPr>
        <w:t>基金份额。红利再投资的计算方法，依照《业务规则》执行。</w:t>
      </w:r>
    </w:p>
    <w:p w14:paraId="30B071AE" w14:textId="77777777" w:rsidR="007C736D" w:rsidRDefault="00662CFB">
      <w:pPr>
        <w:spacing w:line="360" w:lineRule="auto"/>
        <w:ind w:firstLine="540"/>
        <w:rPr>
          <w:bCs/>
          <w:sz w:val="24"/>
        </w:rPr>
      </w:pPr>
      <w:r>
        <w:rPr>
          <w:rFonts w:hint="eastAsia"/>
          <w:bCs/>
          <w:sz w:val="24"/>
        </w:rPr>
        <w:t>七、实施侧袋机制期间的收益分配</w:t>
      </w:r>
      <w:r>
        <w:rPr>
          <w:rFonts w:hint="eastAsia"/>
          <w:bCs/>
          <w:sz w:val="24"/>
        </w:rPr>
        <w:t xml:space="preserve"> </w:t>
      </w:r>
    </w:p>
    <w:p w14:paraId="08A08CE7" w14:textId="77777777" w:rsidR="007C736D" w:rsidRDefault="00662CFB">
      <w:pPr>
        <w:spacing w:line="360" w:lineRule="auto"/>
        <w:ind w:firstLine="540"/>
        <w:rPr>
          <w:bCs/>
          <w:sz w:val="24"/>
        </w:rPr>
      </w:pPr>
      <w:r>
        <w:rPr>
          <w:rFonts w:hint="eastAsia"/>
          <w:bCs/>
          <w:sz w:val="24"/>
        </w:rPr>
        <w:t>本基金实施侧袋机制的，侧袋账户不进行收益分配，详见招募说明书的规定。</w:t>
      </w:r>
    </w:p>
    <w:p w14:paraId="536ABD6C" w14:textId="77777777" w:rsidR="007C736D" w:rsidRDefault="007C736D">
      <w:pPr>
        <w:spacing w:line="360" w:lineRule="auto"/>
        <w:ind w:firstLine="540"/>
        <w:rPr>
          <w:bCs/>
          <w:sz w:val="24"/>
        </w:rPr>
      </w:pPr>
    </w:p>
    <w:p w14:paraId="5764676D" w14:textId="77777777" w:rsidR="007C736D" w:rsidRDefault="00662CFB">
      <w:pPr>
        <w:pStyle w:val="1110"/>
        <w:spacing w:before="0" w:after="0"/>
        <w:jc w:val="center"/>
        <w:rPr>
          <w:rFonts w:ascii="Times New Roman"/>
          <w:b w:val="0"/>
          <w:color w:val="auto"/>
          <w:sz w:val="30"/>
        </w:rPr>
      </w:pPr>
      <w:r>
        <w:rPr>
          <w:rFonts w:ascii="Times New Roman"/>
          <w:b w:val="0"/>
          <w:color w:val="auto"/>
          <w:sz w:val="21"/>
        </w:rPr>
        <w:br w:type="page"/>
      </w:r>
      <w:bookmarkStart w:id="372" w:name="_Toc93226150"/>
      <w:bookmarkStart w:id="373" w:name="_Toc92662708"/>
      <w:bookmarkStart w:id="374" w:name="_Toc23859"/>
      <w:bookmarkStart w:id="375" w:name="_Toc1043"/>
      <w:bookmarkStart w:id="376" w:name="_Toc13255"/>
      <w:bookmarkStart w:id="377" w:name="_Toc136360686"/>
      <w:bookmarkStart w:id="378" w:name="_Toc31736"/>
      <w:bookmarkStart w:id="379" w:name="_Toc141703897"/>
      <w:bookmarkStart w:id="380" w:name="_Toc128310500"/>
      <w:bookmarkStart w:id="381" w:name="_Toc18007"/>
      <w:bookmarkStart w:id="382" w:name="_Toc25072226"/>
      <w:bookmarkStart w:id="383" w:name="_Toc10894"/>
      <w:bookmarkStart w:id="384" w:name="_Toc28961"/>
      <w:bookmarkStart w:id="385" w:name="_Toc29695"/>
      <w:bookmarkStart w:id="386" w:name="_Toc21206"/>
      <w:bookmarkStart w:id="387" w:name="_Toc139991747"/>
      <w:bookmarkStart w:id="388" w:name="_Toc17499"/>
      <w:r>
        <w:rPr>
          <w:rFonts w:ascii="Times New Roman" w:hint="eastAsia"/>
          <w:b w:val="0"/>
          <w:color w:val="auto"/>
          <w:sz w:val="30"/>
        </w:rPr>
        <w:lastRenderedPageBreak/>
        <w:t>第十七部分</w:t>
      </w:r>
      <w:r>
        <w:rPr>
          <w:rFonts w:ascii="Times New Roman" w:hint="eastAsia"/>
          <w:b w:val="0"/>
          <w:color w:val="auto"/>
          <w:sz w:val="30"/>
        </w:rPr>
        <w:t xml:space="preserve"> </w:t>
      </w:r>
      <w:r>
        <w:rPr>
          <w:rFonts w:ascii="Times New Roman"/>
          <w:b w:val="0"/>
          <w:color w:val="auto"/>
          <w:sz w:val="30"/>
        </w:rPr>
        <w:t xml:space="preserve"> </w:t>
      </w:r>
      <w:r>
        <w:rPr>
          <w:rFonts w:ascii="Times New Roman" w:hint="eastAsia"/>
          <w:b w:val="0"/>
          <w:color w:val="auto"/>
          <w:sz w:val="30"/>
        </w:rPr>
        <w:t>基金</w:t>
      </w:r>
      <w:bookmarkEnd w:id="372"/>
      <w:bookmarkEnd w:id="373"/>
      <w:r>
        <w:rPr>
          <w:rFonts w:ascii="Times New Roman" w:hint="eastAsia"/>
          <w:b w:val="0"/>
          <w:color w:val="auto"/>
          <w:sz w:val="30"/>
        </w:rPr>
        <w:t>的会计与审计</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2E961333" w14:textId="77777777" w:rsidR="007C736D" w:rsidRDefault="007C736D">
      <w:pPr>
        <w:spacing w:line="360" w:lineRule="auto"/>
        <w:ind w:firstLine="480"/>
        <w:rPr>
          <w:bCs/>
          <w:sz w:val="24"/>
        </w:rPr>
      </w:pPr>
    </w:p>
    <w:p w14:paraId="0F239DB0" w14:textId="77777777" w:rsidR="007C736D" w:rsidRDefault="00662CFB">
      <w:pPr>
        <w:spacing w:line="360" w:lineRule="auto"/>
        <w:ind w:firstLine="480"/>
        <w:rPr>
          <w:bCs/>
          <w:sz w:val="24"/>
        </w:rPr>
      </w:pPr>
      <w:r>
        <w:rPr>
          <w:bCs/>
          <w:sz w:val="24"/>
        </w:rPr>
        <w:t>一、基金会计政策</w:t>
      </w:r>
    </w:p>
    <w:p w14:paraId="6A6F693B" w14:textId="77777777" w:rsidR="007C736D" w:rsidRDefault="00662CFB">
      <w:pPr>
        <w:spacing w:line="360" w:lineRule="auto"/>
        <w:ind w:firstLine="480"/>
        <w:rPr>
          <w:bCs/>
          <w:sz w:val="24"/>
        </w:rPr>
      </w:pPr>
      <w:r>
        <w:rPr>
          <w:bCs/>
          <w:sz w:val="24"/>
        </w:rPr>
        <w:t>1</w:t>
      </w:r>
      <w:r>
        <w:rPr>
          <w:bCs/>
          <w:sz w:val="24"/>
        </w:rPr>
        <w:t>、基金管理人为本基金的基金会计责任方；</w:t>
      </w:r>
    </w:p>
    <w:p w14:paraId="67DFAFB7" w14:textId="77777777" w:rsidR="007C736D" w:rsidRDefault="00662CFB">
      <w:pPr>
        <w:spacing w:line="360" w:lineRule="auto"/>
        <w:ind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28C65A4C" w14:textId="77777777" w:rsidR="007C736D" w:rsidRDefault="00662CFB">
      <w:pPr>
        <w:spacing w:line="360" w:lineRule="auto"/>
        <w:ind w:firstLine="480"/>
        <w:rPr>
          <w:bCs/>
          <w:sz w:val="24"/>
        </w:rPr>
      </w:pPr>
      <w:r>
        <w:rPr>
          <w:bCs/>
          <w:sz w:val="24"/>
        </w:rPr>
        <w:t>3</w:t>
      </w:r>
      <w:r>
        <w:rPr>
          <w:bCs/>
          <w:sz w:val="24"/>
        </w:rPr>
        <w:t>、基金核算以人民币为记账本位币，以人民币元为记账单位；</w:t>
      </w:r>
    </w:p>
    <w:p w14:paraId="74EBF68F" w14:textId="77777777" w:rsidR="007C736D" w:rsidRDefault="00662CFB">
      <w:pPr>
        <w:spacing w:line="360" w:lineRule="auto"/>
        <w:ind w:firstLine="480"/>
        <w:rPr>
          <w:bCs/>
          <w:sz w:val="24"/>
        </w:rPr>
      </w:pPr>
      <w:r>
        <w:rPr>
          <w:bCs/>
          <w:sz w:val="24"/>
        </w:rPr>
        <w:t>4</w:t>
      </w:r>
      <w:r>
        <w:rPr>
          <w:bCs/>
          <w:sz w:val="24"/>
        </w:rPr>
        <w:t>、会计制度执行国家有关会计制度；</w:t>
      </w:r>
    </w:p>
    <w:p w14:paraId="36D90E8A" w14:textId="77777777" w:rsidR="007C736D" w:rsidRDefault="00662CFB">
      <w:pPr>
        <w:spacing w:line="360" w:lineRule="auto"/>
        <w:ind w:firstLine="480"/>
        <w:rPr>
          <w:bCs/>
          <w:sz w:val="24"/>
        </w:rPr>
      </w:pPr>
      <w:r>
        <w:rPr>
          <w:bCs/>
          <w:sz w:val="24"/>
        </w:rPr>
        <w:t>5</w:t>
      </w:r>
      <w:r>
        <w:rPr>
          <w:bCs/>
          <w:sz w:val="24"/>
        </w:rPr>
        <w:t>、本基金独立建账、独立核算；</w:t>
      </w:r>
    </w:p>
    <w:p w14:paraId="3DB5F15F" w14:textId="77777777" w:rsidR="007C736D" w:rsidRDefault="00662CFB">
      <w:pPr>
        <w:spacing w:line="360" w:lineRule="auto"/>
        <w:ind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64D2F7E7" w14:textId="77777777" w:rsidR="007C736D" w:rsidRDefault="00662CFB">
      <w:pPr>
        <w:spacing w:line="360" w:lineRule="auto"/>
        <w:ind w:firstLine="480"/>
        <w:rPr>
          <w:bCs/>
          <w:sz w:val="24"/>
        </w:rPr>
      </w:pPr>
      <w:r>
        <w:rPr>
          <w:bCs/>
          <w:sz w:val="24"/>
        </w:rPr>
        <w:t>7</w:t>
      </w:r>
      <w:r>
        <w:rPr>
          <w:bCs/>
          <w:sz w:val="24"/>
        </w:rPr>
        <w:t>、基金托管人每月与基金管理人就基金的会计核算、报表编制等进行核对并以</w:t>
      </w:r>
      <w:r>
        <w:rPr>
          <w:rFonts w:hint="eastAsia"/>
          <w:bCs/>
          <w:sz w:val="24"/>
        </w:rPr>
        <w:t>书面</w:t>
      </w:r>
      <w:r>
        <w:rPr>
          <w:bCs/>
          <w:sz w:val="24"/>
        </w:rPr>
        <w:t>方式确认。</w:t>
      </w:r>
    </w:p>
    <w:p w14:paraId="62DFC281" w14:textId="77777777" w:rsidR="007C736D" w:rsidRDefault="00662CFB">
      <w:pPr>
        <w:spacing w:line="360" w:lineRule="auto"/>
        <w:ind w:firstLine="480"/>
        <w:rPr>
          <w:bCs/>
          <w:sz w:val="24"/>
        </w:rPr>
      </w:pPr>
      <w:r>
        <w:rPr>
          <w:bCs/>
          <w:sz w:val="24"/>
        </w:rPr>
        <w:t>二、基金的年度审计</w:t>
      </w:r>
    </w:p>
    <w:p w14:paraId="7339C07F" w14:textId="77777777" w:rsidR="007C736D" w:rsidRDefault="00662CFB">
      <w:pPr>
        <w:spacing w:line="360" w:lineRule="auto"/>
        <w:ind w:firstLine="480"/>
        <w:rPr>
          <w:bCs/>
          <w:sz w:val="24"/>
        </w:rPr>
      </w:pPr>
      <w:r>
        <w:rPr>
          <w:bCs/>
          <w:sz w:val="24"/>
        </w:rPr>
        <w:t>1</w:t>
      </w:r>
      <w:r>
        <w:rPr>
          <w:bCs/>
          <w:sz w:val="24"/>
        </w:rPr>
        <w:t>、基金管理人聘请与基金管理人、基金托管人相互独立的符合《中华人民共和国证券法》规定的会计师事务所及其注册会计师对本基金的年度财务报表进行审计。</w:t>
      </w:r>
    </w:p>
    <w:p w14:paraId="1823CE8B" w14:textId="77777777" w:rsidR="007C736D" w:rsidRDefault="00662CFB">
      <w:pPr>
        <w:spacing w:line="360" w:lineRule="auto"/>
        <w:ind w:firstLine="480"/>
        <w:rPr>
          <w:bCs/>
          <w:sz w:val="24"/>
        </w:rPr>
      </w:pPr>
      <w:r>
        <w:rPr>
          <w:bCs/>
          <w:sz w:val="24"/>
        </w:rPr>
        <w:t>2</w:t>
      </w:r>
      <w:r>
        <w:rPr>
          <w:bCs/>
          <w:sz w:val="24"/>
        </w:rPr>
        <w:t>、会计师事务所更换经办注册会计师，应事先征得基金管理人同意。</w:t>
      </w:r>
    </w:p>
    <w:p w14:paraId="07F71125" w14:textId="77777777" w:rsidR="007C736D" w:rsidRDefault="00662CFB">
      <w:pPr>
        <w:spacing w:line="360" w:lineRule="auto"/>
        <w:ind w:firstLine="480"/>
        <w:rPr>
          <w:bCs/>
          <w:sz w:val="24"/>
        </w:rPr>
      </w:pPr>
      <w:r>
        <w:rPr>
          <w:bCs/>
          <w:sz w:val="24"/>
        </w:rPr>
        <w:t>3</w:t>
      </w:r>
      <w:r>
        <w:rPr>
          <w:rFonts w:hint="eastAsia"/>
          <w:bCs/>
          <w:sz w:val="24"/>
        </w:rPr>
        <w:t>、</w:t>
      </w:r>
      <w:bookmarkStart w:id="389" w:name="_Hlt4221115"/>
      <w:bookmarkEnd w:id="389"/>
      <w:r>
        <w:rPr>
          <w:rFonts w:hint="eastAsia"/>
          <w:bCs/>
          <w:sz w:val="24"/>
        </w:rPr>
        <w:t>基金管理人认为有充足理由更换会计师事务所，须通报基金托管人。更换会计师事务所需按照《信息披露办法》的有关规定在规定媒介公告。</w:t>
      </w:r>
    </w:p>
    <w:p w14:paraId="5C8D60AD" w14:textId="77777777" w:rsidR="007C736D" w:rsidRDefault="00662CFB">
      <w:pPr>
        <w:spacing w:line="360" w:lineRule="auto"/>
        <w:ind w:firstLine="482"/>
        <w:jc w:val="center"/>
        <w:outlineLvl w:val="0"/>
        <w:rPr>
          <w:sz w:val="30"/>
        </w:rPr>
      </w:pPr>
      <w:r>
        <w:br w:type="page"/>
      </w:r>
      <w:bookmarkStart w:id="390" w:name="_Toc92662709"/>
      <w:bookmarkStart w:id="391" w:name="_Toc93226151"/>
      <w:bookmarkStart w:id="392" w:name="_Toc8512"/>
      <w:bookmarkStart w:id="393" w:name="_Toc11049"/>
      <w:bookmarkStart w:id="394" w:name="_Toc1173"/>
      <w:bookmarkStart w:id="395" w:name="_Toc136360687"/>
      <w:bookmarkStart w:id="396" w:name="_Toc139991748"/>
      <w:bookmarkStart w:id="397" w:name="_Toc12028"/>
      <w:bookmarkStart w:id="398" w:name="_Toc11802"/>
      <w:bookmarkStart w:id="399" w:name="_Toc29289"/>
      <w:bookmarkStart w:id="400" w:name="_Toc128310501"/>
      <w:bookmarkStart w:id="401" w:name="_Toc25072227"/>
      <w:bookmarkStart w:id="402" w:name="_Toc141703898"/>
      <w:bookmarkStart w:id="403" w:name="_Toc31866"/>
      <w:bookmarkStart w:id="404" w:name="_Toc3056"/>
      <w:bookmarkStart w:id="405" w:name="_Toc193"/>
      <w:bookmarkStart w:id="406" w:name="_Toc1421"/>
      <w:r>
        <w:rPr>
          <w:rFonts w:ascii="宋体" w:hint="eastAsia"/>
          <w:color w:val="000000"/>
          <w:sz w:val="30"/>
        </w:rPr>
        <w:lastRenderedPageBreak/>
        <w:t>第十八部分</w:t>
      </w:r>
      <w:r>
        <w:rPr>
          <w:rFonts w:ascii="宋体"/>
          <w:color w:val="000000"/>
          <w:sz w:val="30"/>
          <w:szCs w:val="30"/>
        </w:rPr>
        <w:t xml:space="preserve"> </w:t>
      </w:r>
      <w:r>
        <w:rPr>
          <w:rFonts w:ascii="宋体"/>
          <w:color w:val="000000"/>
          <w:sz w:val="30"/>
        </w:rPr>
        <w:t xml:space="preserve"> </w:t>
      </w:r>
      <w:r>
        <w:rPr>
          <w:rFonts w:ascii="宋体" w:hint="eastAsia"/>
          <w:color w:val="000000"/>
          <w:sz w:val="30"/>
        </w:rPr>
        <w:t>基金</w:t>
      </w:r>
      <w:bookmarkEnd w:id="390"/>
      <w:bookmarkEnd w:id="391"/>
      <w:r>
        <w:rPr>
          <w:rFonts w:ascii="宋体" w:hint="eastAsia"/>
          <w:color w:val="000000"/>
          <w:sz w:val="30"/>
        </w:rPr>
        <w:t>的信息披露</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397434D3" w14:textId="77777777" w:rsidR="007C736D" w:rsidRDefault="007C736D">
      <w:pPr>
        <w:spacing w:line="360" w:lineRule="auto"/>
        <w:ind w:firstLine="480"/>
        <w:rPr>
          <w:bCs/>
          <w:sz w:val="24"/>
        </w:rPr>
      </w:pPr>
    </w:p>
    <w:p w14:paraId="559A63A8" w14:textId="77777777" w:rsidR="007C736D" w:rsidRDefault="00662CFB">
      <w:pPr>
        <w:spacing w:line="360" w:lineRule="auto"/>
        <w:ind w:firstLine="480"/>
        <w:rPr>
          <w:bCs/>
          <w:sz w:val="24"/>
        </w:rPr>
      </w:pPr>
      <w:r>
        <w:rPr>
          <w:bCs/>
          <w:sz w:val="24"/>
        </w:rPr>
        <w:t>一、本基金的信息披露应符合《基金</w:t>
      </w:r>
      <w:r>
        <w:rPr>
          <w:bCs/>
          <w:sz w:val="24"/>
        </w:rPr>
        <w:t>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相关法律法规关于信息披露的规定发生变化时，本基金从其最新规定。</w:t>
      </w:r>
    </w:p>
    <w:p w14:paraId="0D7463E2" w14:textId="77777777" w:rsidR="007C736D" w:rsidRDefault="00662CFB">
      <w:pPr>
        <w:spacing w:line="360" w:lineRule="auto"/>
        <w:ind w:firstLine="480"/>
        <w:rPr>
          <w:bCs/>
          <w:sz w:val="24"/>
        </w:rPr>
      </w:pPr>
      <w:r>
        <w:rPr>
          <w:bCs/>
          <w:sz w:val="24"/>
        </w:rPr>
        <w:t>二、信息披露义务人</w:t>
      </w:r>
    </w:p>
    <w:p w14:paraId="6DE4A90C" w14:textId="77777777" w:rsidR="007C736D" w:rsidRDefault="00662CFB">
      <w:pPr>
        <w:spacing w:line="360" w:lineRule="auto"/>
        <w:ind w:firstLine="480"/>
        <w:rPr>
          <w:bCs/>
          <w:sz w:val="24"/>
        </w:rPr>
      </w:pPr>
      <w:r>
        <w:rPr>
          <w:bCs/>
          <w:sz w:val="24"/>
        </w:rPr>
        <w:t>本基金信息披露义务人包括基金管理人、基金托管人、</w:t>
      </w:r>
      <w:r>
        <w:rPr>
          <w:rFonts w:hint="eastAsia"/>
          <w:bCs/>
          <w:sz w:val="24"/>
        </w:rPr>
        <w:t>召集基金份额持有人大会的基金份额持有人及其日常机构（如有）等法律法规和中国证监会规定的自然人</w:t>
      </w:r>
      <w:r>
        <w:rPr>
          <w:bCs/>
          <w:sz w:val="24"/>
        </w:rPr>
        <w:t>、法人和</w:t>
      </w:r>
      <w:r>
        <w:rPr>
          <w:rFonts w:hint="eastAsia"/>
          <w:bCs/>
          <w:sz w:val="24"/>
        </w:rPr>
        <w:t>非法人</w:t>
      </w:r>
      <w:r>
        <w:rPr>
          <w:bCs/>
          <w:sz w:val="24"/>
        </w:rPr>
        <w:t>组织。</w:t>
      </w:r>
    </w:p>
    <w:p w14:paraId="4EDBC126" w14:textId="77777777" w:rsidR="007C736D" w:rsidRDefault="00662CFB">
      <w:pPr>
        <w:spacing w:line="360" w:lineRule="auto"/>
        <w:ind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14:paraId="4FB8FBFC" w14:textId="77777777" w:rsidR="007C736D" w:rsidRDefault="00662CFB">
      <w:pPr>
        <w:spacing w:line="360" w:lineRule="auto"/>
        <w:ind w:firstLine="480"/>
        <w:rPr>
          <w:bCs/>
          <w:sz w:val="24"/>
        </w:rPr>
      </w:pPr>
      <w:r>
        <w:rPr>
          <w:rFonts w:hint="eastAsia"/>
          <w:bCs/>
          <w:sz w:val="24"/>
        </w:rPr>
        <w:t>本基金</w:t>
      </w:r>
      <w:r>
        <w:rPr>
          <w:rFonts w:hint="eastAsia"/>
          <w:bCs/>
          <w:sz w:val="24"/>
        </w:rPr>
        <w:t>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50FF60F6" w14:textId="77777777" w:rsidR="007C736D" w:rsidRDefault="00662CFB">
      <w:pPr>
        <w:spacing w:line="360" w:lineRule="auto"/>
        <w:ind w:firstLine="480"/>
        <w:rPr>
          <w:bCs/>
          <w:sz w:val="24"/>
        </w:rPr>
      </w:pPr>
      <w:r>
        <w:rPr>
          <w:bCs/>
          <w:sz w:val="24"/>
        </w:rPr>
        <w:t>三、本基金信息披露义务人承诺公开披露的基金信息，不得有下列行为：</w:t>
      </w:r>
    </w:p>
    <w:p w14:paraId="6733C424" w14:textId="77777777" w:rsidR="007C736D" w:rsidRDefault="00662CFB">
      <w:pPr>
        <w:spacing w:line="360" w:lineRule="auto"/>
        <w:ind w:firstLine="480"/>
        <w:rPr>
          <w:bCs/>
          <w:sz w:val="24"/>
        </w:rPr>
      </w:pPr>
      <w:r>
        <w:rPr>
          <w:bCs/>
          <w:sz w:val="24"/>
        </w:rPr>
        <w:t>1</w:t>
      </w:r>
      <w:r>
        <w:rPr>
          <w:bCs/>
          <w:sz w:val="24"/>
        </w:rPr>
        <w:t>、虚假记载、误导性陈述或者重大遗漏；</w:t>
      </w:r>
    </w:p>
    <w:p w14:paraId="44FB64B2" w14:textId="77777777" w:rsidR="007C736D" w:rsidRDefault="00662CFB">
      <w:pPr>
        <w:spacing w:line="360" w:lineRule="auto"/>
        <w:ind w:firstLine="480"/>
        <w:rPr>
          <w:bCs/>
          <w:sz w:val="24"/>
        </w:rPr>
      </w:pPr>
      <w:r>
        <w:rPr>
          <w:bCs/>
          <w:sz w:val="24"/>
        </w:rPr>
        <w:t>2</w:t>
      </w:r>
      <w:r>
        <w:rPr>
          <w:bCs/>
          <w:sz w:val="24"/>
        </w:rPr>
        <w:t>、对证券投资业绩进行预测；</w:t>
      </w:r>
    </w:p>
    <w:p w14:paraId="3BD369DF" w14:textId="77777777" w:rsidR="007C736D" w:rsidRDefault="00662CFB">
      <w:pPr>
        <w:spacing w:line="360" w:lineRule="auto"/>
        <w:ind w:firstLine="480"/>
        <w:rPr>
          <w:bCs/>
          <w:sz w:val="24"/>
        </w:rPr>
      </w:pPr>
      <w:r>
        <w:rPr>
          <w:bCs/>
          <w:sz w:val="24"/>
        </w:rPr>
        <w:t>3</w:t>
      </w:r>
      <w:r>
        <w:rPr>
          <w:bCs/>
          <w:sz w:val="24"/>
        </w:rPr>
        <w:t>、违规承诺收益或者承担损失；</w:t>
      </w:r>
    </w:p>
    <w:p w14:paraId="4E7CA482" w14:textId="77777777" w:rsidR="007C736D" w:rsidRDefault="00662CFB">
      <w:pPr>
        <w:spacing w:line="360" w:lineRule="auto"/>
        <w:ind w:firstLine="480"/>
        <w:rPr>
          <w:bCs/>
          <w:sz w:val="24"/>
        </w:rPr>
      </w:pPr>
      <w:r>
        <w:rPr>
          <w:bCs/>
          <w:sz w:val="24"/>
        </w:rPr>
        <w:t>4</w:t>
      </w:r>
      <w:r>
        <w:rPr>
          <w:bCs/>
          <w:sz w:val="24"/>
        </w:rPr>
        <w:t>、诋毁其他基金管理人、基金托管人或者基金销售机构；</w:t>
      </w:r>
    </w:p>
    <w:p w14:paraId="6D963C7B" w14:textId="77777777" w:rsidR="007C736D" w:rsidRDefault="00662CFB">
      <w:pPr>
        <w:spacing w:line="360" w:lineRule="auto"/>
        <w:ind w:firstLine="480"/>
        <w:rPr>
          <w:bCs/>
          <w:sz w:val="24"/>
        </w:rPr>
      </w:pPr>
      <w:r>
        <w:rPr>
          <w:bCs/>
          <w:sz w:val="24"/>
        </w:rPr>
        <w:t>5</w:t>
      </w:r>
      <w:r>
        <w:rPr>
          <w:bCs/>
          <w:sz w:val="24"/>
        </w:rPr>
        <w:t>、登载任</w:t>
      </w:r>
      <w:r>
        <w:rPr>
          <w:bCs/>
          <w:sz w:val="24"/>
        </w:rPr>
        <w:t>何自然人、法人</w:t>
      </w:r>
      <w:r>
        <w:rPr>
          <w:rFonts w:hint="eastAsia"/>
          <w:bCs/>
          <w:sz w:val="24"/>
        </w:rPr>
        <w:t>和非法人</w:t>
      </w:r>
      <w:r>
        <w:rPr>
          <w:bCs/>
          <w:sz w:val="24"/>
        </w:rPr>
        <w:t>组织的祝贺性、恭维性或推荐性的文字；</w:t>
      </w:r>
    </w:p>
    <w:p w14:paraId="2A1078E8" w14:textId="77777777" w:rsidR="007C736D" w:rsidRDefault="00662CFB">
      <w:pPr>
        <w:spacing w:line="360" w:lineRule="auto"/>
        <w:ind w:firstLine="480"/>
        <w:rPr>
          <w:bCs/>
          <w:sz w:val="24"/>
        </w:rPr>
      </w:pPr>
      <w:r>
        <w:rPr>
          <w:bCs/>
          <w:sz w:val="24"/>
        </w:rPr>
        <w:t>6</w:t>
      </w:r>
      <w:r>
        <w:rPr>
          <w:bCs/>
          <w:sz w:val="24"/>
        </w:rPr>
        <w:t>、中国证监会禁止的其他行为。</w:t>
      </w:r>
    </w:p>
    <w:p w14:paraId="767A895D" w14:textId="77777777" w:rsidR="007C736D" w:rsidRDefault="00662CFB">
      <w:pPr>
        <w:spacing w:line="360" w:lineRule="auto"/>
        <w:ind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文本之间发生歧义的，以中文文本为准。</w:t>
      </w:r>
    </w:p>
    <w:p w14:paraId="2EAAD7A6" w14:textId="77777777" w:rsidR="007C736D" w:rsidRDefault="00662CFB">
      <w:pPr>
        <w:spacing w:line="360" w:lineRule="auto"/>
        <w:ind w:firstLine="480"/>
        <w:rPr>
          <w:bCs/>
          <w:sz w:val="24"/>
        </w:rPr>
      </w:pPr>
      <w:r>
        <w:rPr>
          <w:bCs/>
          <w:sz w:val="24"/>
        </w:rPr>
        <w:t>本基金公开披露的信息采用阿拉伯数字；除特别说明外，货币单位为人民币元。</w:t>
      </w:r>
    </w:p>
    <w:p w14:paraId="15D3D34F" w14:textId="77777777" w:rsidR="007C736D" w:rsidRDefault="00662CFB">
      <w:pPr>
        <w:spacing w:line="360" w:lineRule="auto"/>
        <w:ind w:firstLine="480"/>
        <w:rPr>
          <w:bCs/>
          <w:sz w:val="24"/>
        </w:rPr>
      </w:pPr>
      <w:r>
        <w:rPr>
          <w:bCs/>
          <w:sz w:val="24"/>
        </w:rPr>
        <w:lastRenderedPageBreak/>
        <w:t>五、公开披露的基金信息</w:t>
      </w:r>
    </w:p>
    <w:p w14:paraId="10CD86D2" w14:textId="77777777" w:rsidR="007C736D" w:rsidRDefault="00662CFB">
      <w:pPr>
        <w:spacing w:line="360" w:lineRule="auto"/>
        <w:ind w:firstLine="480"/>
        <w:rPr>
          <w:bCs/>
          <w:sz w:val="24"/>
        </w:rPr>
      </w:pPr>
      <w:r>
        <w:rPr>
          <w:bCs/>
          <w:sz w:val="24"/>
        </w:rPr>
        <w:t>公开披露的基金信息包括：</w:t>
      </w:r>
    </w:p>
    <w:p w14:paraId="0F8D1344" w14:textId="77777777" w:rsidR="007C736D" w:rsidRDefault="00662CFB">
      <w:pPr>
        <w:spacing w:line="360" w:lineRule="auto"/>
        <w:ind w:firstLine="480"/>
        <w:rPr>
          <w:bCs/>
          <w:sz w:val="24"/>
        </w:rPr>
      </w:pPr>
      <w:r>
        <w:rPr>
          <w:bCs/>
          <w:sz w:val="24"/>
        </w:rPr>
        <w:t>（一）基金招募说明书、《基金合同》、基金托管协议</w:t>
      </w:r>
      <w:r>
        <w:rPr>
          <w:rFonts w:hint="eastAsia"/>
          <w:bCs/>
          <w:sz w:val="24"/>
        </w:rPr>
        <w:t>、基金产品资料概要</w:t>
      </w:r>
    </w:p>
    <w:p w14:paraId="3383C4E1" w14:textId="77777777" w:rsidR="007C736D" w:rsidRDefault="00662CFB">
      <w:pPr>
        <w:spacing w:line="360" w:lineRule="auto"/>
        <w:ind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3AEE270C" w14:textId="77777777" w:rsidR="007C736D" w:rsidRDefault="00662CFB">
      <w:pPr>
        <w:spacing w:line="360" w:lineRule="auto"/>
        <w:ind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r>
        <w:rPr>
          <w:bCs/>
          <w:sz w:val="24"/>
        </w:rPr>
        <w:t>。</w:t>
      </w:r>
    </w:p>
    <w:p w14:paraId="4269F377" w14:textId="77777777" w:rsidR="007C736D" w:rsidRDefault="00662CFB">
      <w:pPr>
        <w:spacing w:line="360" w:lineRule="auto"/>
        <w:ind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3F83FF2C" w14:textId="77777777" w:rsidR="007C736D" w:rsidRDefault="00662CFB">
      <w:pPr>
        <w:spacing w:line="360" w:lineRule="auto"/>
        <w:ind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w:t>
      </w:r>
      <w:r>
        <w:rPr>
          <w:rFonts w:hint="eastAsia"/>
          <w:bCs/>
          <w:sz w:val="24"/>
        </w:rPr>
        <w:t>资料概要，并登载在规定网站及基金销售机构网站或营业网点；基金产品资料概要其他信息发生变更的，基金管理人至少每年更新一次。基金终止运作的，基金管理人不再更新基金产品资料概要。</w:t>
      </w:r>
    </w:p>
    <w:p w14:paraId="340618FD" w14:textId="77777777" w:rsidR="007C736D" w:rsidRDefault="00662CFB">
      <w:pPr>
        <w:spacing w:line="360" w:lineRule="auto"/>
        <w:ind w:firstLine="480"/>
        <w:rPr>
          <w:bCs/>
          <w:sz w:val="24"/>
        </w:rPr>
      </w:pPr>
      <w:r>
        <w:rPr>
          <w:bCs/>
          <w:sz w:val="24"/>
        </w:rPr>
        <w:t>基金募集申请经中国证监会</w:t>
      </w:r>
      <w:r>
        <w:rPr>
          <w:rFonts w:hint="eastAsia"/>
          <w:bCs/>
          <w:sz w:val="24"/>
        </w:rPr>
        <w:t>注册</w:t>
      </w:r>
      <w:r>
        <w:rPr>
          <w:bCs/>
          <w:sz w:val="24"/>
        </w:rPr>
        <w:t>后，基金管理人在基金份额发售的三日前，</w:t>
      </w:r>
      <w:r>
        <w:rPr>
          <w:rFonts w:hint="eastAsia"/>
          <w:bCs/>
          <w:sz w:val="24"/>
        </w:rPr>
        <w:t>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w:t>
      </w:r>
      <w:r>
        <w:rPr>
          <w:bCs/>
          <w:sz w:val="24"/>
        </w:rPr>
        <w:t>《基金合同》、</w:t>
      </w:r>
      <w:r>
        <w:rPr>
          <w:bCs/>
          <w:sz w:val="24"/>
        </w:rPr>
        <w:t>基金托管协议登载在</w:t>
      </w:r>
      <w:r>
        <w:rPr>
          <w:rFonts w:hint="eastAsia"/>
          <w:bCs/>
          <w:sz w:val="24"/>
        </w:rPr>
        <w:t>规定网站</w:t>
      </w:r>
      <w:r>
        <w:rPr>
          <w:bCs/>
          <w:sz w:val="24"/>
        </w:rPr>
        <w:t>上。</w:t>
      </w:r>
    </w:p>
    <w:p w14:paraId="1F7BA689" w14:textId="77777777" w:rsidR="007C736D" w:rsidRDefault="00662CFB">
      <w:pPr>
        <w:spacing w:line="360" w:lineRule="auto"/>
        <w:ind w:firstLine="480"/>
        <w:rPr>
          <w:bCs/>
          <w:sz w:val="24"/>
        </w:rPr>
      </w:pPr>
      <w:r>
        <w:rPr>
          <w:bCs/>
          <w:sz w:val="24"/>
        </w:rPr>
        <w:t>（二）基金份额发售公告</w:t>
      </w:r>
    </w:p>
    <w:p w14:paraId="78B7CB4C" w14:textId="77777777" w:rsidR="007C736D" w:rsidRDefault="00662CFB">
      <w:pPr>
        <w:spacing w:line="360" w:lineRule="auto"/>
        <w:ind w:firstLine="480"/>
        <w:rPr>
          <w:bCs/>
          <w:sz w:val="24"/>
        </w:rPr>
      </w:pPr>
      <w:r>
        <w:rPr>
          <w:bCs/>
          <w:sz w:val="24"/>
        </w:rPr>
        <w:t>基金管理人应当就基金份额发售的具体事宜编制基金份额发售公告，</w:t>
      </w:r>
      <w:r>
        <w:rPr>
          <w:rFonts w:hint="eastAsia"/>
          <w:bCs/>
          <w:sz w:val="24"/>
        </w:rPr>
        <w:t>并在</w:t>
      </w:r>
      <w:r>
        <w:rPr>
          <w:rFonts w:hint="eastAsia"/>
          <w:bCs/>
          <w:sz w:val="24"/>
        </w:rPr>
        <w:lastRenderedPageBreak/>
        <w:t>基金份额发售的三日前登载在规定媒介上</w:t>
      </w:r>
      <w:r>
        <w:rPr>
          <w:bCs/>
          <w:sz w:val="24"/>
        </w:rPr>
        <w:t>。</w:t>
      </w:r>
    </w:p>
    <w:p w14:paraId="7889E2D8" w14:textId="77777777" w:rsidR="007C736D" w:rsidRDefault="00662CFB">
      <w:pPr>
        <w:spacing w:line="360" w:lineRule="auto"/>
        <w:ind w:firstLine="480"/>
        <w:rPr>
          <w:bCs/>
          <w:sz w:val="24"/>
        </w:rPr>
      </w:pPr>
      <w:r>
        <w:rPr>
          <w:bCs/>
          <w:sz w:val="24"/>
        </w:rPr>
        <w:t>（三）《基金合同》生效公告</w:t>
      </w:r>
    </w:p>
    <w:p w14:paraId="0D812723" w14:textId="77777777" w:rsidR="007C736D" w:rsidRDefault="00662CFB">
      <w:pPr>
        <w:spacing w:line="360" w:lineRule="auto"/>
        <w:ind w:firstLine="480"/>
        <w:rPr>
          <w:bCs/>
          <w:sz w:val="24"/>
        </w:rPr>
      </w:pPr>
      <w:r>
        <w:rPr>
          <w:bCs/>
          <w:sz w:val="24"/>
        </w:rPr>
        <w:t>基金管理人应当在收到中国证监会确认文件的次日在规定媒介上登载《基金合同》生效公告。</w:t>
      </w:r>
    </w:p>
    <w:p w14:paraId="38FB25F1" w14:textId="77777777" w:rsidR="007C736D" w:rsidRDefault="00662CFB">
      <w:pPr>
        <w:spacing w:line="360" w:lineRule="auto"/>
        <w:ind w:firstLine="480"/>
        <w:rPr>
          <w:bCs/>
          <w:sz w:val="24"/>
        </w:rPr>
      </w:pPr>
      <w:r>
        <w:rPr>
          <w:bCs/>
          <w:sz w:val="24"/>
        </w:rPr>
        <w:t>（四）基金净值</w:t>
      </w:r>
      <w:r>
        <w:rPr>
          <w:rFonts w:hint="eastAsia"/>
          <w:bCs/>
          <w:sz w:val="24"/>
        </w:rPr>
        <w:t>信息</w:t>
      </w:r>
    </w:p>
    <w:p w14:paraId="7BBF6846" w14:textId="77777777" w:rsidR="007C736D" w:rsidRDefault="00662CFB">
      <w:pPr>
        <w:spacing w:line="360" w:lineRule="auto"/>
        <w:ind w:firstLine="480"/>
        <w:rPr>
          <w:bCs/>
          <w:sz w:val="24"/>
        </w:rPr>
      </w:pPr>
      <w:r>
        <w:rPr>
          <w:bCs/>
          <w:sz w:val="24"/>
        </w:rPr>
        <w:t>《基金合同》生效后，在开始办理基金份额申购或者赎回前，基金管理人应当至少每周</w:t>
      </w:r>
      <w:r>
        <w:rPr>
          <w:rFonts w:hint="eastAsia"/>
          <w:bCs/>
          <w:sz w:val="24"/>
        </w:rPr>
        <w:t>在规定网站披露</w:t>
      </w:r>
      <w:r>
        <w:rPr>
          <w:bCs/>
          <w:sz w:val="24"/>
        </w:rPr>
        <w:t>一次</w:t>
      </w:r>
      <w:r>
        <w:rPr>
          <w:rFonts w:hint="eastAsia"/>
          <w:bCs/>
          <w:sz w:val="24"/>
        </w:rPr>
        <w:t>各类</w:t>
      </w:r>
      <w:r>
        <w:rPr>
          <w:bCs/>
          <w:sz w:val="24"/>
        </w:rPr>
        <w:t>基金</w:t>
      </w:r>
      <w:r>
        <w:rPr>
          <w:rFonts w:hint="eastAsia"/>
          <w:bCs/>
          <w:sz w:val="24"/>
        </w:rPr>
        <w:t>份额</w:t>
      </w:r>
      <w:r>
        <w:rPr>
          <w:bCs/>
          <w:sz w:val="24"/>
        </w:rPr>
        <w:t>净值和</w:t>
      </w:r>
      <w:r>
        <w:rPr>
          <w:rFonts w:hint="eastAsia"/>
          <w:bCs/>
          <w:sz w:val="24"/>
        </w:rPr>
        <w:t>基金份额累计净值。</w:t>
      </w:r>
    </w:p>
    <w:p w14:paraId="64FA93A5" w14:textId="77777777" w:rsidR="007C736D" w:rsidRDefault="00662CFB">
      <w:pPr>
        <w:spacing w:line="360" w:lineRule="auto"/>
        <w:ind w:firstLine="480"/>
        <w:rPr>
          <w:bCs/>
          <w:sz w:val="24"/>
        </w:rPr>
      </w:pPr>
      <w:bookmarkStart w:id="407" w:name="_Hlk149896028"/>
      <w:r>
        <w:rPr>
          <w:bCs/>
          <w:sz w:val="24"/>
        </w:rPr>
        <w:t>在开始办理基金份额申购或者赎回后，基金管理人应当在</w:t>
      </w:r>
      <w:r>
        <w:rPr>
          <w:rFonts w:hint="eastAsia"/>
          <w:bCs/>
          <w:sz w:val="24"/>
        </w:rPr>
        <w:t>不晚于每个开放日的次日</w:t>
      </w:r>
      <w:r>
        <w:rPr>
          <w:bCs/>
          <w:sz w:val="24"/>
        </w:rPr>
        <w:t>，通过</w:t>
      </w:r>
      <w:r>
        <w:rPr>
          <w:rFonts w:hint="eastAsia"/>
          <w:bCs/>
          <w:sz w:val="24"/>
        </w:rPr>
        <w:t>规定网站</w:t>
      </w:r>
      <w:r>
        <w:rPr>
          <w:bCs/>
          <w:sz w:val="24"/>
        </w:rPr>
        <w:t>、</w:t>
      </w:r>
      <w:r>
        <w:rPr>
          <w:rFonts w:hint="eastAsia"/>
          <w:bCs/>
          <w:sz w:val="24"/>
        </w:rPr>
        <w:t>基金销售机构网站或者营业网点</w:t>
      </w:r>
      <w:r>
        <w:rPr>
          <w:bCs/>
          <w:sz w:val="24"/>
        </w:rPr>
        <w:t>披露开放日的</w:t>
      </w:r>
      <w:r>
        <w:rPr>
          <w:rFonts w:hint="eastAsia"/>
          <w:bCs/>
          <w:sz w:val="24"/>
        </w:rPr>
        <w:t>各类</w:t>
      </w:r>
      <w:r>
        <w:rPr>
          <w:bCs/>
          <w:sz w:val="24"/>
        </w:rPr>
        <w:t>基金份额净值和基金份额累计净值。</w:t>
      </w:r>
    </w:p>
    <w:bookmarkEnd w:id="407"/>
    <w:p w14:paraId="2ABBE833" w14:textId="77777777" w:rsidR="007C736D" w:rsidRDefault="00662CFB">
      <w:pPr>
        <w:spacing w:line="360" w:lineRule="auto"/>
        <w:ind w:firstLine="480"/>
        <w:rPr>
          <w:bCs/>
          <w:sz w:val="24"/>
        </w:rPr>
      </w:pPr>
      <w:r>
        <w:rPr>
          <w:bCs/>
          <w:sz w:val="24"/>
        </w:rPr>
        <w:t>基金管理人应当</w:t>
      </w:r>
      <w:r>
        <w:rPr>
          <w:rFonts w:hint="eastAsia"/>
          <w:bCs/>
          <w:sz w:val="24"/>
        </w:rPr>
        <w:t>在不晚于半年度和年度最后一日的次日，在规定网站披露半年度和年度最后一日的各类基金份额净值和基金份额累计净值</w:t>
      </w:r>
      <w:r>
        <w:rPr>
          <w:bCs/>
          <w:sz w:val="24"/>
        </w:rPr>
        <w:t>。</w:t>
      </w:r>
    </w:p>
    <w:p w14:paraId="5FB7A116" w14:textId="77777777" w:rsidR="007C736D" w:rsidRDefault="00662CFB">
      <w:pPr>
        <w:spacing w:line="360" w:lineRule="auto"/>
        <w:ind w:firstLine="480"/>
        <w:rPr>
          <w:bCs/>
          <w:sz w:val="24"/>
        </w:rPr>
      </w:pPr>
      <w:r>
        <w:rPr>
          <w:bCs/>
          <w:sz w:val="24"/>
        </w:rPr>
        <w:t>（五）基金份额申购、赎回价格</w:t>
      </w:r>
    </w:p>
    <w:p w14:paraId="16AAA34F" w14:textId="77777777" w:rsidR="007C736D" w:rsidRDefault="00662CFB">
      <w:pPr>
        <w:spacing w:line="360" w:lineRule="auto"/>
        <w:ind w:firstLine="480"/>
        <w:rPr>
          <w:bCs/>
          <w:sz w:val="24"/>
        </w:rPr>
      </w:pPr>
      <w:r>
        <w:rPr>
          <w:bCs/>
          <w:sz w:val="24"/>
        </w:rPr>
        <w:t>基金管理人应当在《基金合同》、招募说明书等信息披露文件上载明基金份额申购、赎回价格的计算方式及有关申购、赎回费率，并保证投资者能够在基金</w:t>
      </w:r>
      <w:r>
        <w:rPr>
          <w:rFonts w:hint="eastAsia"/>
          <w:bCs/>
          <w:sz w:val="24"/>
        </w:rPr>
        <w:t>销售机构网站或营业网点</w:t>
      </w:r>
      <w:r>
        <w:rPr>
          <w:bCs/>
          <w:sz w:val="24"/>
        </w:rPr>
        <w:t>查阅或者复制前述信息资料。</w:t>
      </w:r>
    </w:p>
    <w:p w14:paraId="4ED15619" w14:textId="77777777" w:rsidR="007C736D" w:rsidRDefault="00662CFB">
      <w:pPr>
        <w:spacing w:line="360" w:lineRule="auto"/>
        <w:ind w:firstLine="480"/>
        <w:rPr>
          <w:bCs/>
          <w:sz w:val="24"/>
        </w:rPr>
      </w:pPr>
      <w:r>
        <w:rPr>
          <w:bCs/>
          <w:sz w:val="24"/>
        </w:rPr>
        <w:t>（六）基金定期报告，</w:t>
      </w:r>
      <w:bookmarkStart w:id="408" w:name="_Hlk136261473"/>
      <w:r>
        <w:rPr>
          <w:bCs/>
          <w:sz w:val="24"/>
        </w:rPr>
        <w:t>包括基金年度报告、基金</w:t>
      </w:r>
      <w:r>
        <w:rPr>
          <w:rFonts w:hint="eastAsia"/>
          <w:bCs/>
          <w:sz w:val="24"/>
        </w:rPr>
        <w:t>中期</w:t>
      </w:r>
      <w:r>
        <w:rPr>
          <w:bCs/>
          <w:sz w:val="24"/>
        </w:rPr>
        <w:t>报告和基金季度报告</w:t>
      </w:r>
      <w:bookmarkEnd w:id="408"/>
    </w:p>
    <w:p w14:paraId="14462D09" w14:textId="77777777" w:rsidR="007C736D" w:rsidRDefault="00662CFB">
      <w:pPr>
        <w:spacing w:line="360" w:lineRule="auto"/>
        <w:ind w:firstLine="480"/>
        <w:rPr>
          <w:bCs/>
          <w:sz w:val="24"/>
        </w:rPr>
      </w:pPr>
      <w:r>
        <w:rPr>
          <w:bCs/>
          <w:sz w:val="24"/>
        </w:rPr>
        <w:t>基金管理人应当在每年结束之日</w:t>
      </w:r>
      <w:r>
        <w:rPr>
          <w:bCs/>
          <w:sz w:val="24"/>
        </w:rPr>
        <w:t>起</w:t>
      </w:r>
      <w:r>
        <w:rPr>
          <w:rFonts w:hint="eastAsia"/>
          <w:bCs/>
          <w:sz w:val="24"/>
        </w:rPr>
        <w:t>三个月</w:t>
      </w:r>
      <w:r>
        <w:rPr>
          <w:bCs/>
          <w:sz w:val="24"/>
        </w:rPr>
        <w:t>内，编制完成基金年度报告，</w:t>
      </w:r>
      <w:r>
        <w:rPr>
          <w:rFonts w:hint="eastAsia"/>
          <w:bCs/>
          <w:sz w:val="24"/>
        </w:rPr>
        <w:t>将年度报告登载在规定网站上，并将年度报告提示性公告登载在规定报刊上</w:t>
      </w:r>
      <w:r>
        <w:rPr>
          <w:bCs/>
          <w:sz w:val="24"/>
        </w:rPr>
        <w:t>。基金年度报告中的财务会计报告应当经过</w:t>
      </w:r>
      <w:bookmarkStart w:id="409" w:name="_Hlk136260760"/>
      <w:r>
        <w:rPr>
          <w:rFonts w:hint="eastAsia"/>
          <w:bCs/>
          <w:sz w:val="24"/>
        </w:rPr>
        <w:t>符合《中华人民共和国证券法》规定的</w:t>
      </w:r>
      <w:bookmarkStart w:id="410" w:name="_Hlk136260766"/>
      <w:bookmarkEnd w:id="409"/>
      <w:r>
        <w:rPr>
          <w:rFonts w:hint="eastAsia"/>
          <w:bCs/>
          <w:sz w:val="24"/>
        </w:rPr>
        <w:t>会计师事务所</w:t>
      </w:r>
      <w:bookmarkEnd w:id="410"/>
      <w:r>
        <w:rPr>
          <w:bCs/>
          <w:sz w:val="24"/>
        </w:rPr>
        <w:t>审计。</w:t>
      </w:r>
    </w:p>
    <w:p w14:paraId="140C0756" w14:textId="77777777" w:rsidR="007C736D" w:rsidRDefault="00662CFB">
      <w:pPr>
        <w:spacing w:line="360" w:lineRule="auto"/>
        <w:ind w:firstLine="480"/>
        <w:rPr>
          <w:bCs/>
          <w:sz w:val="24"/>
        </w:rPr>
      </w:pPr>
      <w:r>
        <w:rPr>
          <w:bCs/>
          <w:sz w:val="24"/>
        </w:rPr>
        <w:t>基金管理人应当在上半年结束之日起</w:t>
      </w:r>
      <w:bookmarkStart w:id="411" w:name="_Hlk136260726"/>
      <w:r>
        <w:rPr>
          <w:rFonts w:hint="eastAsia"/>
          <w:bCs/>
          <w:sz w:val="24"/>
        </w:rPr>
        <w:t>两个月</w:t>
      </w:r>
      <w:bookmarkEnd w:id="411"/>
      <w:r>
        <w:rPr>
          <w:bCs/>
          <w:sz w:val="24"/>
        </w:rPr>
        <w:t>内，编制完成基金中期报告，</w:t>
      </w:r>
      <w:r>
        <w:rPr>
          <w:rFonts w:hint="eastAsia"/>
          <w:bCs/>
          <w:sz w:val="24"/>
        </w:rPr>
        <w:t>将中期报告登载在规定网站上，并将中期报告提示性公告登载在规定报刊上</w:t>
      </w:r>
      <w:r>
        <w:rPr>
          <w:bCs/>
          <w:sz w:val="24"/>
        </w:rPr>
        <w:t>。</w:t>
      </w:r>
    </w:p>
    <w:p w14:paraId="5468F19B" w14:textId="77777777" w:rsidR="007C736D" w:rsidRDefault="00662CFB">
      <w:pPr>
        <w:spacing w:line="360" w:lineRule="auto"/>
        <w:ind w:firstLine="480"/>
        <w:rPr>
          <w:bCs/>
          <w:sz w:val="24"/>
        </w:rPr>
      </w:pPr>
      <w:r>
        <w:rPr>
          <w:bCs/>
          <w:sz w:val="24"/>
        </w:rPr>
        <w:t>基金管理人应当在季度结束之日起</w:t>
      </w:r>
      <w:r>
        <w:rPr>
          <w:bCs/>
          <w:sz w:val="24"/>
        </w:rPr>
        <w:t>15</w:t>
      </w:r>
      <w:r>
        <w:rPr>
          <w:bCs/>
          <w:sz w:val="24"/>
        </w:rPr>
        <w:t>个工作日内，编制完成基金季度报告，</w:t>
      </w:r>
      <w:r>
        <w:rPr>
          <w:rFonts w:hint="eastAsia"/>
          <w:bCs/>
          <w:sz w:val="24"/>
        </w:rPr>
        <w:t>将季度报告登载在规定网站上，</w:t>
      </w:r>
      <w:r>
        <w:rPr>
          <w:bCs/>
          <w:sz w:val="24"/>
        </w:rPr>
        <w:t>并将季度报告</w:t>
      </w:r>
      <w:r>
        <w:rPr>
          <w:rFonts w:hint="eastAsia"/>
          <w:bCs/>
          <w:sz w:val="24"/>
        </w:rPr>
        <w:t>提示性公告</w:t>
      </w:r>
      <w:r>
        <w:rPr>
          <w:bCs/>
          <w:sz w:val="24"/>
        </w:rPr>
        <w:t>登载在规定报刊上。</w:t>
      </w:r>
    </w:p>
    <w:p w14:paraId="3D4FD972" w14:textId="77777777" w:rsidR="007C736D" w:rsidRDefault="00662CFB">
      <w:pPr>
        <w:spacing w:line="360" w:lineRule="auto"/>
        <w:ind w:firstLine="480"/>
        <w:rPr>
          <w:bCs/>
          <w:sz w:val="24"/>
        </w:rPr>
      </w:pPr>
      <w:r>
        <w:rPr>
          <w:bCs/>
          <w:sz w:val="24"/>
        </w:rPr>
        <w:t>《基金合同》生效不足</w:t>
      </w:r>
      <w:r>
        <w:rPr>
          <w:bCs/>
          <w:sz w:val="24"/>
        </w:rPr>
        <w:t>2</w:t>
      </w:r>
      <w:r>
        <w:rPr>
          <w:bCs/>
          <w:sz w:val="24"/>
        </w:rPr>
        <w:t>个月的，基金管理人可以不编</w:t>
      </w:r>
      <w:r>
        <w:rPr>
          <w:bCs/>
          <w:sz w:val="24"/>
        </w:rPr>
        <w:t>制当期季度报告、</w:t>
      </w:r>
      <w:r>
        <w:rPr>
          <w:rFonts w:hint="eastAsia"/>
          <w:bCs/>
          <w:sz w:val="24"/>
        </w:rPr>
        <w:t>中期</w:t>
      </w:r>
      <w:r>
        <w:rPr>
          <w:bCs/>
          <w:sz w:val="24"/>
        </w:rPr>
        <w:t>报告或者年度报告。</w:t>
      </w:r>
    </w:p>
    <w:p w14:paraId="3E079CB6" w14:textId="77777777" w:rsidR="007C736D" w:rsidRDefault="00662CFB">
      <w:pPr>
        <w:spacing w:line="360" w:lineRule="auto"/>
        <w:ind w:firstLineChars="200" w:firstLine="480"/>
        <w:rPr>
          <w:bCs/>
          <w:sz w:val="24"/>
        </w:rPr>
      </w:pPr>
      <w:r>
        <w:rPr>
          <w:rFonts w:hint="eastAsia"/>
          <w:bCs/>
          <w:sz w:val="24"/>
        </w:rPr>
        <w:t>本基金在基金年度报告及中期报告中应披露其持有的流通受限证券总额、流通受限证券市值占基金净资产的比例和报告期内所有的流通受限证券明细。</w:t>
      </w:r>
    </w:p>
    <w:p w14:paraId="3C926F60" w14:textId="77777777" w:rsidR="007C736D" w:rsidRDefault="00662CFB">
      <w:pPr>
        <w:spacing w:line="360" w:lineRule="auto"/>
        <w:ind w:firstLine="480"/>
        <w:rPr>
          <w:bCs/>
          <w:sz w:val="24"/>
        </w:rPr>
      </w:pPr>
      <w:r>
        <w:rPr>
          <w:rFonts w:hint="eastAsia"/>
          <w:bCs/>
          <w:sz w:val="24"/>
        </w:rPr>
        <w:lastRenderedPageBreak/>
        <w:t>如报告期内出现单一投资者持有基金份额达到或超过基金总份额</w:t>
      </w:r>
      <w:r>
        <w:rPr>
          <w:bCs/>
          <w:sz w:val="24"/>
        </w:rPr>
        <w:t>20%</w:t>
      </w:r>
      <w:r>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41F87CB7" w14:textId="77777777" w:rsidR="007C736D" w:rsidRDefault="00662CFB">
      <w:pPr>
        <w:spacing w:line="360" w:lineRule="auto"/>
        <w:ind w:firstLine="480"/>
        <w:rPr>
          <w:bCs/>
          <w:sz w:val="24"/>
        </w:rPr>
      </w:pPr>
      <w:r>
        <w:rPr>
          <w:rFonts w:hint="eastAsia"/>
          <w:bCs/>
          <w:sz w:val="24"/>
        </w:rPr>
        <w:t>基金管理人应当在基金年度报告和中期报告中披露基金组合资产情况及其流动性风险分析等。</w:t>
      </w:r>
    </w:p>
    <w:p w14:paraId="186CC58B" w14:textId="77777777" w:rsidR="007C736D" w:rsidRDefault="00662CFB">
      <w:pPr>
        <w:spacing w:line="360" w:lineRule="auto"/>
        <w:ind w:firstLine="480"/>
        <w:rPr>
          <w:bCs/>
          <w:sz w:val="24"/>
        </w:rPr>
      </w:pPr>
      <w:r>
        <w:rPr>
          <w:bCs/>
          <w:sz w:val="24"/>
        </w:rPr>
        <w:t>（七）临时报告</w:t>
      </w:r>
    </w:p>
    <w:p w14:paraId="2A9385B3" w14:textId="77777777" w:rsidR="007C736D" w:rsidRDefault="00662CFB">
      <w:pPr>
        <w:spacing w:line="360" w:lineRule="auto"/>
        <w:ind w:firstLine="480"/>
        <w:rPr>
          <w:bCs/>
          <w:sz w:val="24"/>
        </w:rPr>
      </w:pPr>
      <w:r>
        <w:rPr>
          <w:bCs/>
          <w:sz w:val="24"/>
        </w:rPr>
        <w:t>本基金发生重大事件，有关信息披露义务人应当在</w:t>
      </w:r>
      <w:r>
        <w:rPr>
          <w:bCs/>
          <w:sz w:val="24"/>
        </w:rPr>
        <w:t>2</w:t>
      </w:r>
      <w:r>
        <w:rPr>
          <w:bCs/>
          <w:sz w:val="24"/>
        </w:rPr>
        <w:t>日内编制临时报告书，</w:t>
      </w:r>
      <w:r>
        <w:rPr>
          <w:rFonts w:hint="eastAsia"/>
          <w:bCs/>
          <w:sz w:val="24"/>
        </w:rPr>
        <w:t>并登载在规定报刊和规定网站上</w:t>
      </w:r>
      <w:r>
        <w:rPr>
          <w:bCs/>
          <w:sz w:val="24"/>
        </w:rPr>
        <w:t>。</w:t>
      </w:r>
    </w:p>
    <w:p w14:paraId="24719EE0" w14:textId="77777777" w:rsidR="007C736D" w:rsidRDefault="00662CFB">
      <w:pPr>
        <w:spacing w:line="360" w:lineRule="auto"/>
        <w:ind w:firstLine="480"/>
        <w:rPr>
          <w:bCs/>
          <w:sz w:val="24"/>
        </w:rPr>
      </w:pPr>
      <w:r>
        <w:rPr>
          <w:bCs/>
          <w:sz w:val="24"/>
        </w:rPr>
        <w:t>前款所称重大事件，是指可能对基金份额持有人权益或者基金份额的价格产生重大影响的下列事件：</w:t>
      </w:r>
    </w:p>
    <w:p w14:paraId="0ADF4188" w14:textId="77777777" w:rsidR="007C736D" w:rsidRDefault="00662CFB">
      <w:pPr>
        <w:spacing w:line="360" w:lineRule="auto"/>
        <w:ind w:firstLine="480"/>
        <w:rPr>
          <w:bCs/>
          <w:sz w:val="24"/>
        </w:rPr>
      </w:pPr>
      <w:r>
        <w:rPr>
          <w:bCs/>
          <w:sz w:val="24"/>
        </w:rPr>
        <w:t>1</w:t>
      </w:r>
      <w:r>
        <w:rPr>
          <w:bCs/>
          <w:sz w:val="24"/>
        </w:rPr>
        <w:t>、基金份额持有人大会的召开</w:t>
      </w:r>
      <w:r>
        <w:rPr>
          <w:rFonts w:hint="eastAsia"/>
          <w:bCs/>
          <w:sz w:val="24"/>
        </w:rPr>
        <w:t>及决定的事项</w:t>
      </w:r>
      <w:r>
        <w:rPr>
          <w:bCs/>
          <w:sz w:val="24"/>
        </w:rPr>
        <w:t>；</w:t>
      </w:r>
    </w:p>
    <w:p w14:paraId="7D709C81" w14:textId="77777777" w:rsidR="007C736D" w:rsidRDefault="00662CFB">
      <w:pPr>
        <w:spacing w:line="360" w:lineRule="auto"/>
        <w:ind w:firstLine="480"/>
        <w:rPr>
          <w:bCs/>
          <w:sz w:val="24"/>
        </w:rPr>
      </w:pPr>
      <w:r>
        <w:rPr>
          <w:bCs/>
          <w:sz w:val="24"/>
        </w:rPr>
        <w:t>2</w:t>
      </w:r>
      <w:r>
        <w:rPr>
          <w:bCs/>
          <w:sz w:val="24"/>
        </w:rPr>
        <w:t>、</w:t>
      </w:r>
      <w:r>
        <w:rPr>
          <w:rFonts w:hint="eastAsia"/>
          <w:bCs/>
          <w:sz w:val="24"/>
        </w:rPr>
        <w:t>《</w:t>
      </w:r>
      <w:r>
        <w:rPr>
          <w:bCs/>
          <w:sz w:val="24"/>
        </w:rPr>
        <w:t>基金合同</w:t>
      </w:r>
      <w:r>
        <w:rPr>
          <w:rFonts w:hint="eastAsia"/>
          <w:bCs/>
          <w:sz w:val="24"/>
        </w:rPr>
        <w:t>》</w:t>
      </w:r>
      <w:r>
        <w:rPr>
          <w:bCs/>
          <w:sz w:val="24"/>
        </w:rPr>
        <w:t>终止</w:t>
      </w:r>
      <w:r>
        <w:rPr>
          <w:rFonts w:hint="eastAsia"/>
          <w:bCs/>
          <w:sz w:val="24"/>
        </w:rPr>
        <w:t>、基金清算</w:t>
      </w:r>
      <w:r>
        <w:rPr>
          <w:bCs/>
          <w:sz w:val="24"/>
        </w:rPr>
        <w:t>；</w:t>
      </w:r>
    </w:p>
    <w:p w14:paraId="647DE6CB" w14:textId="77777777" w:rsidR="007C736D" w:rsidRDefault="00662CFB">
      <w:pPr>
        <w:spacing w:line="360" w:lineRule="auto"/>
        <w:ind w:firstLine="480"/>
        <w:rPr>
          <w:bCs/>
          <w:sz w:val="24"/>
        </w:rPr>
      </w:pPr>
      <w:r>
        <w:rPr>
          <w:bCs/>
          <w:sz w:val="24"/>
        </w:rPr>
        <w:t>3</w:t>
      </w:r>
      <w:r>
        <w:rPr>
          <w:bCs/>
          <w:sz w:val="24"/>
        </w:rPr>
        <w:t>、转换基金运作方式</w:t>
      </w:r>
      <w:r>
        <w:rPr>
          <w:rFonts w:hint="eastAsia"/>
          <w:bCs/>
          <w:sz w:val="24"/>
        </w:rPr>
        <w:t>、基金合并</w:t>
      </w:r>
      <w:r>
        <w:rPr>
          <w:bCs/>
          <w:sz w:val="24"/>
        </w:rPr>
        <w:t>；</w:t>
      </w:r>
    </w:p>
    <w:p w14:paraId="18DE5EB6" w14:textId="77777777" w:rsidR="007C736D" w:rsidRDefault="00662CFB">
      <w:pPr>
        <w:spacing w:line="360" w:lineRule="auto"/>
        <w:ind w:firstLine="480"/>
        <w:rPr>
          <w:bCs/>
          <w:sz w:val="24"/>
        </w:rPr>
      </w:pPr>
      <w:r>
        <w:rPr>
          <w:bCs/>
          <w:sz w:val="24"/>
        </w:rPr>
        <w:t>4</w:t>
      </w:r>
      <w:r>
        <w:rPr>
          <w:bCs/>
          <w:sz w:val="24"/>
        </w:rPr>
        <w:t>、更换基金管理人、基金托管人</w:t>
      </w:r>
      <w:r>
        <w:rPr>
          <w:rFonts w:hint="eastAsia"/>
          <w:bCs/>
          <w:sz w:val="24"/>
        </w:rPr>
        <w:t>、基金份额登记机构，基金改聘会计师事务所</w:t>
      </w:r>
      <w:r>
        <w:rPr>
          <w:bCs/>
          <w:sz w:val="24"/>
        </w:rPr>
        <w:t>；</w:t>
      </w:r>
    </w:p>
    <w:p w14:paraId="4D4C72F4" w14:textId="77777777" w:rsidR="007C736D" w:rsidRDefault="00662CFB">
      <w:pPr>
        <w:spacing w:line="360" w:lineRule="auto"/>
        <w:ind w:firstLine="480"/>
        <w:rPr>
          <w:bCs/>
          <w:sz w:val="24"/>
        </w:rPr>
      </w:pPr>
      <w:r>
        <w:rPr>
          <w:bCs/>
          <w:sz w:val="24"/>
        </w:rPr>
        <w:t>5</w:t>
      </w:r>
      <w:r>
        <w:rPr>
          <w:bCs/>
          <w:sz w:val="24"/>
        </w:rPr>
        <w:t>、</w:t>
      </w:r>
      <w:r>
        <w:rPr>
          <w:rFonts w:hint="eastAsia"/>
          <w:bCs/>
          <w:sz w:val="24"/>
        </w:rPr>
        <w:t>基金管理人委托基金服务机构代为办理基金的份额登记、核算、估值等事项，基金托管人委托基金服务机构代为办理基金的核算、估值、复核等事项；</w:t>
      </w:r>
    </w:p>
    <w:p w14:paraId="7177F2CE" w14:textId="77777777" w:rsidR="007C736D" w:rsidRDefault="00662CFB">
      <w:pPr>
        <w:spacing w:line="360" w:lineRule="auto"/>
        <w:ind w:firstLine="480"/>
        <w:rPr>
          <w:bCs/>
          <w:sz w:val="24"/>
        </w:rPr>
      </w:pPr>
      <w:r>
        <w:rPr>
          <w:rFonts w:hint="eastAsia"/>
          <w:bCs/>
          <w:sz w:val="24"/>
        </w:rPr>
        <w:t>6</w:t>
      </w:r>
      <w:r>
        <w:rPr>
          <w:rFonts w:hint="eastAsia"/>
          <w:bCs/>
          <w:sz w:val="24"/>
        </w:rPr>
        <w:t>、</w:t>
      </w:r>
      <w:r>
        <w:rPr>
          <w:bCs/>
          <w:sz w:val="24"/>
        </w:rPr>
        <w:t>基金管理人、基金托管人的法定名称、住所发生变更；</w:t>
      </w:r>
    </w:p>
    <w:p w14:paraId="7541235C" w14:textId="77777777" w:rsidR="007C736D" w:rsidRDefault="00662CFB">
      <w:pPr>
        <w:spacing w:line="360" w:lineRule="auto"/>
        <w:ind w:firstLine="480"/>
        <w:rPr>
          <w:bCs/>
          <w:sz w:val="24"/>
        </w:rPr>
      </w:pPr>
      <w:r>
        <w:rPr>
          <w:bCs/>
          <w:sz w:val="24"/>
        </w:rPr>
        <w:t>7</w:t>
      </w:r>
      <w:r>
        <w:rPr>
          <w:bCs/>
          <w:sz w:val="24"/>
        </w:rPr>
        <w:t>、基金管理人变更持有</w:t>
      </w:r>
      <w:r>
        <w:rPr>
          <w:rFonts w:hint="eastAsia"/>
          <w:bCs/>
          <w:sz w:val="24"/>
        </w:rPr>
        <w:t>百分之五以上股权的股东、</w:t>
      </w:r>
      <w:r>
        <w:rPr>
          <w:bCs/>
          <w:sz w:val="24"/>
        </w:rPr>
        <w:t>基金管理人</w:t>
      </w:r>
      <w:r>
        <w:rPr>
          <w:rFonts w:hint="eastAsia"/>
          <w:bCs/>
          <w:sz w:val="24"/>
        </w:rPr>
        <w:t>的实际控制人变更</w:t>
      </w:r>
      <w:r>
        <w:rPr>
          <w:bCs/>
          <w:sz w:val="24"/>
        </w:rPr>
        <w:t>；</w:t>
      </w:r>
    </w:p>
    <w:p w14:paraId="78A7B517" w14:textId="77777777" w:rsidR="007C736D" w:rsidRDefault="00662CFB">
      <w:pPr>
        <w:spacing w:line="360" w:lineRule="auto"/>
        <w:ind w:firstLine="480"/>
        <w:rPr>
          <w:bCs/>
          <w:sz w:val="24"/>
        </w:rPr>
      </w:pPr>
      <w:r>
        <w:rPr>
          <w:bCs/>
          <w:sz w:val="24"/>
        </w:rPr>
        <w:t>8</w:t>
      </w:r>
      <w:r>
        <w:rPr>
          <w:bCs/>
          <w:sz w:val="24"/>
        </w:rPr>
        <w:t>、基金募集期延长</w:t>
      </w:r>
      <w:r>
        <w:rPr>
          <w:rFonts w:hint="eastAsia"/>
          <w:bCs/>
          <w:sz w:val="24"/>
        </w:rPr>
        <w:t>或提前结束募集</w:t>
      </w:r>
      <w:r>
        <w:rPr>
          <w:bCs/>
          <w:sz w:val="24"/>
        </w:rPr>
        <w:t>；</w:t>
      </w:r>
    </w:p>
    <w:p w14:paraId="1F9C2651" w14:textId="77777777" w:rsidR="007C736D" w:rsidRDefault="00662CFB">
      <w:pPr>
        <w:spacing w:line="360" w:lineRule="auto"/>
        <w:ind w:firstLine="480"/>
        <w:rPr>
          <w:bCs/>
          <w:sz w:val="24"/>
        </w:rPr>
      </w:pPr>
      <w:r>
        <w:rPr>
          <w:bCs/>
          <w:sz w:val="24"/>
        </w:rPr>
        <w:t>9</w:t>
      </w:r>
      <w:r>
        <w:rPr>
          <w:bCs/>
          <w:sz w:val="24"/>
        </w:rPr>
        <w:t>、基金管理人的高级管理人员、基金经理和基金托管人</w:t>
      </w:r>
      <w:r>
        <w:rPr>
          <w:rFonts w:hint="eastAsia"/>
          <w:bCs/>
          <w:sz w:val="24"/>
        </w:rPr>
        <w:t>专门</w:t>
      </w:r>
      <w:r>
        <w:rPr>
          <w:bCs/>
          <w:sz w:val="24"/>
        </w:rPr>
        <w:t>基金托管部门负责人发生变动；</w:t>
      </w:r>
    </w:p>
    <w:p w14:paraId="7C8AD9CE" w14:textId="77777777" w:rsidR="007C736D" w:rsidRDefault="00662CFB">
      <w:pPr>
        <w:spacing w:line="360" w:lineRule="auto"/>
        <w:ind w:firstLine="480"/>
        <w:rPr>
          <w:bCs/>
          <w:sz w:val="24"/>
        </w:rPr>
      </w:pPr>
      <w:r>
        <w:rPr>
          <w:bCs/>
          <w:sz w:val="24"/>
        </w:rPr>
        <w:t>10</w:t>
      </w:r>
      <w:r>
        <w:rPr>
          <w:bCs/>
          <w:sz w:val="24"/>
        </w:rPr>
        <w:t>、基金管理人的董事在</w:t>
      </w:r>
      <w:r>
        <w:rPr>
          <w:rFonts w:hint="eastAsia"/>
          <w:bCs/>
          <w:sz w:val="24"/>
        </w:rPr>
        <w:t>最近</w:t>
      </w:r>
      <w:r>
        <w:rPr>
          <w:rFonts w:hint="eastAsia"/>
          <w:bCs/>
          <w:sz w:val="24"/>
        </w:rPr>
        <w:t>12</w:t>
      </w:r>
      <w:r>
        <w:rPr>
          <w:rFonts w:hint="eastAsia"/>
          <w:bCs/>
          <w:sz w:val="24"/>
        </w:rPr>
        <w:t>个月</w:t>
      </w:r>
      <w:r>
        <w:rPr>
          <w:bCs/>
          <w:sz w:val="24"/>
        </w:rPr>
        <w:t>内变更超过百分之五十</w:t>
      </w:r>
      <w:r>
        <w:rPr>
          <w:rFonts w:hint="eastAsia"/>
          <w:bCs/>
          <w:sz w:val="24"/>
        </w:rPr>
        <w:t>，</w:t>
      </w:r>
      <w:r>
        <w:rPr>
          <w:bCs/>
          <w:sz w:val="24"/>
        </w:rPr>
        <w:t>基金管理人、基金托管人</w:t>
      </w:r>
      <w:r>
        <w:rPr>
          <w:rFonts w:hint="eastAsia"/>
          <w:bCs/>
          <w:sz w:val="24"/>
        </w:rPr>
        <w:t>专门</w:t>
      </w:r>
      <w:r>
        <w:rPr>
          <w:bCs/>
          <w:sz w:val="24"/>
        </w:rPr>
        <w:t>基金托管部门的主要业务人员在</w:t>
      </w:r>
      <w:r>
        <w:rPr>
          <w:rFonts w:hint="eastAsia"/>
          <w:bCs/>
          <w:sz w:val="24"/>
        </w:rPr>
        <w:t>最近</w:t>
      </w:r>
      <w:r>
        <w:rPr>
          <w:rFonts w:hint="eastAsia"/>
          <w:bCs/>
          <w:sz w:val="24"/>
        </w:rPr>
        <w:t>12</w:t>
      </w:r>
      <w:r>
        <w:rPr>
          <w:rFonts w:hint="eastAsia"/>
          <w:bCs/>
          <w:sz w:val="24"/>
        </w:rPr>
        <w:t>个月</w:t>
      </w:r>
      <w:r>
        <w:rPr>
          <w:bCs/>
          <w:sz w:val="24"/>
        </w:rPr>
        <w:t>内变</w:t>
      </w:r>
      <w:r>
        <w:rPr>
          <w:bCs/>
          <w:sz w:val="24"/>
        </w:rPr>
        <w:t>动超过百分之三十；</w:t>
      </w:r>
    </w:p>
    <w:p w14:paraId="20864D3C" w14:textId="77777777" w:rsidR="007C736D" w:rsidRDefault="00662CFB">
      <w:pPr>
        <w:spacing w:line="360" w:lineRule="auto"/>
        <w:ind w:firstLine="480"/>
        <w:rPr>
          <w:bCs/>
          <w:sz w:val="24"/>
        </w:rPr>
      </w:pPr>
      <w:r>
        <w:rPr>
          <w:bCs/>
          <w:sz w:val="24"/>
        </w:rPr>
        <w:t>11</w:t>
      </w:r>
      <w:r>
        <w:rPr>
          <w:bCs/>
          <w:sz w:val="24"/>
        </w:rPr>
        <w:t>、涉及基金管理</w:t>
      </w:r>
      <w:r>
        <w:rPr>
          <w:rFonts w:hint="eastAsia"/>
          <w:bCs/>
          <w:sz w:val="24"/>
        </w:rPr>
        <w:t>业务</w:t>
      </w:r>
      <w:r>
        <w:rPr>
          <w:bCs/>
          <w:sz w:val="24"/>
        </w:rPr>
        <w:t>、基金财产、基金托管业务的诉讼</w:t>
      </w:r>
      <w:r>
        <w:rPr>
          <w:rFonts w:hint="eastAsia"/>
          <w:bCs/>
          <w:sz w:val="24"/>
        </w:rPr>
        <w:t>或仲裁</w:t>
      </w:r>
      <w:r>
        <w:rPr>
          <w:bCs/>
          <w:sz w:val="24"/>
        </w:rPr>
        <w:t>；</w:t>
      </w:r>
    </w:p>
    <w:p w14:paraId="48293541" w14:textId="77777777" w:rsidR="007C736D" w:rsidRDefault="00662CFB">
      <w:pPr>
        <w:spacing w:line="360" w:lineRule="auto"/>
        <w:ind w:firstLine="480"/>
        <w:rPr>
          <w:bCs/>
          <w:sz w:val="24"/>
        </w:rPr>
      </w:pPr>
      <w:r>
        <w:rPr>
          <w:bCs/>
          <w:sz w:val="24"/>
        </w:rPr>
        <w:lastRenderedPageBreak/>
        <w:t>12</w:t>
      </w:r>
      <w:r>
        <w:rPr>
          <w:bCs/>
          <w:sz w:val="24"/>
        </w:rPr>
        <w:t>、</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44876405" w14:textId="77777777" w:rsidR="007C736D" w:rsidRDefault="00662CFB">
      <w:pPr>
        <w:spacing w:line="360" w:lineRule="auto"/>
        <w:ind w:firstLine="480"/>
        <w:rPr>
          <w:bCs/>
          <w:sz w:val="24"/>
        </w:rPr>
      </w:pPr>
      <w:r>
        <w:rPr>
          <w:bCs/>
          <w:sz w:val="24"/>
        </w:rPr>
        <w:t>13</w:t>
      </w:r>
      <w:r>
        <w:rPr>
          <w:bCs/>
          <w:sz w:val="24"/>
        </w:rPr>
        <w:t>、</w:t>
      </w:r>
      <w:r>
        <w:rPr>
          <w:rFonts w:hint="eastAsia"/>
          <w:bCs/>
          <w:sz w:val="24"/>
        </w:rPr>
        <w:t>基金管理人运用基金财产买卖基金管理人、基金托管人及其控股股东、实际控制人或者与其有重大利害关系的公司发行的证券或者承销期内承销的证券，或者从事其他</w:t>
      </w:r>
      <w:r>
        <w:rPr>
          <w:bCs/>
          <w:sz w:val="24"/>
        </w:rPr>
        <w:t>重大关联交易事项</w:t>
      </w:r>
      <w:r>
        <w:rPr>
          <w:rFonts w:hint="eastAsia"/>
          <w:bCs/>
          <w:sz w:val="24"/>
        </w:rPr>
        <w:t>，但中国证监会另有规定的除外</w:t>
      </w:r>
      <w:r>
        <w:rPr>
          <w:bCs/>
          <w:sz w:val="24"/>
        </w:rPr>
        <w:t>；</w:t>
      </w:r>
    </w:p>
    <w:p w14:paraId="1A9E4B78" w14:textId="77777777" w:rsidR="007C736D" w:rsidRDefault="00662CFB">
      <w:pPr>
        <w:spacing w:line="360" w:lineRule="auto"/>
        <w:ind w:firstLine="480"/>
        <w:rPr>
          <w:bCs/>
          <w:sz w:val="24"/>
        </w:rPr>
      </w:pPr>
      <w:r>
        <w:rPr>
          <w:bCs/>
          <w:sz w:val="24"/>
        </w:rPr>
        <w:t>14</w:t>
      </w:r>
      <w:r>
        <w:rPr>
          <w:bCs/>
          <w:sz w:val="24"/>
        </w:rPr>
        <w:t>、基金收益分配事项；</w:t>
      </w:r>
    </w:p>
    <w:p w14:paraId="59C733D7" w14:textId="77777777" w:rsidR="007C736D" w:rsidRDefault="00662CFB">
      <w:pPr>
        <w:spacing w:line="360" w:lineRule="auto"/>
        <w:ind w:firstLine="480"/>
        <w:rPr>
          <w:bCs/>
          <w:sz w:val="24"/>
        </w:rPr>
      </w:pPr>
      <w:r>
        <w:rPr>
          <w:bCs/>
          <w:sz w:val="24"/>
        </w:rPr>
        <w:t>15</w:t>
      </w:r>
      <w:r>
        <w:rPr>
          <w:bCs/>
          <w:sz w:val="24"/>
        </w:rPr>
        <w:t>、管理费、托管费</w:t>
      </w:r>
      <w:r>
        <w:rPr>
          <w:rFonts w:hint="eastAsia"/>
          <w:bCs/>
          <w:sz w:val="24"/>
        </w:rPr>
        <w:t>、</w:t>
      </w:r>
      <w:r>
        <w:rPr>
          <w:bCs/>
          <w:sz w:val="24"/>
        </w:rPr>
        <w:t>销</w:t>
      </w:r>
      <w:r>
        <w:rPr>
          <w:bCs/>
          <w:sz w:val="24"/>
        </w:rPr>
        <w:t>售服务费</w:t>
      </w:r>
      <w:r>
        <w:rPr>
          <w:rFonts w:hint="eastAsia"/>
          <w:bCs/>
          <w:sz w:val="24"/>
        </w:rPr>
        <w:t>、申购费、赎回费</w:t>
      </w:r>
      <w:r>
        <w:rPr>
          <w:bCs/>
          <w:sz w:val="24"/>
        </w:rPr>
        <w:t>等费用计提标准、计提方式和费率发生变更；</w:t>
      </w:r>
    </w:p>
    <w:p w14:paraId="4820D8CB" w14:textId="77777777" w:rsidR="007C736D" w:rsidRDefault="00662CFB">
      <w:pPr>
        <w:spacing w:line="360" w:lineRule="auto"/>
        <w:ind w:firstLine="480"/>
        <w:rPr>
          <w:bCs/>
          <w:sz w:val="24"/>
        </w:rPr>
      </w:pPr>
      <w:r>
        <w:rPr>
          <w:bCs/>
          <w:sz w:val="24"/>
        </w:rPr>
        <w:t>16</w:t>
      </w:r>
      <w:r>
        <w:rPr>
          <w:bCs/>
          <w:sz w:val="24"/>
        </w:rPr>
        <w:t>、</w:t>
      </w:r>
      <w:r>
        <w:rPr>
          <w:rFonts w:hint="eastAsia"/>
          <w:bCs/>
          <w:sz w:val="24"/>
        </w:rPr>
        <w:t>任一类</w:t>
      </w:r>
      <w:r>
        <w:rPr>
          <w:bCs/>
          <w:sz w:val="24"/>
        </w:rPr>
        <w:t>基金份额净值计价错误达</w:t>
      </w:r>
      <w:r>
        <w:rPr>
          <w:rFonts w:hint="eastAsia"/>
          <w:bCs/>
          <w:sz w:val="24"/>
        </w:rPr>
        <w:t>该类</w:t>
      </w:r>
      <w:r>
        <w:rPr>
          <w:bCs/>
          <w:sz w:val="24"/>
        </w:rPr>
        <w:t>基金份额净值百分之零点五；</w:t>
      </w:r>
    </w:p>
    <w:p w14:paraId="28A5AC34" w14:textId="77777777" w:rsidR="007C736D" w:rsidRDefault="00662CFB">
      <w:pPr>
        <w:spacing w:line="360" w:lineRule="auto"/>
        <w:ind w:firstLine="480"/>
        <w:rPr>
          <w:bCs/>
          <w:sz w:val="24"/>
        </w:rPr>
      </w:pPr>
      <w:r>
        <w:rPr>
          <w:bCs/>
          <w:sz w:val="24"/>
        </w:rPr>
        <w:t>17</w:t>
      </w:r>
      <w:r>
        <w:rPr>
          <w:bCs/>
          <w:sz w:val="24"/>
        </w:rPr>
        <w:t>、本基金开始办理申购、赎回；</w:t>
      </w:r>
    </w:p>
    <w:p w14:paraId="2A15359E" w14:textId="77777777" w:rsidR="007C736D" w:rsidRDefault="00662CFB">
      <w:pPr>
        <w:spacing w:line="360" w:lineRule="auto"/>
        <w:ind w:firstLine="480"/>
        <w:rPr>
          <w:bCs/>
          <w:sz w:val="24"/>
        </w:rPr>
      </w:pPr>
      <w:r>
        <w:rPr>
          <w:bCs/>
          <w:sz w:val="24"/>
        </w:rPr>
        <w:t>18</w:t>
      </w:r>
      <w:r>
        <w:rPr>
          <w:bCs/>
          <w:sz w:val="24"/>
        </w:rPr>
        <w:t>、本基金发生巨额赎回并延期</w:t>
      </w:r>
      <w:r>
        <w:rPr>
          <w:rFonts w:hint="eastAsia"/>
          <w:bCs/>
          <w:sz w:val="24"/>
        </w:rPr>
        <w:t>办理</w:t>
      </w:r>
      <w:r>
        <w:rPr>
          <w:bCs/>
          <w:sz w:val="24"/>
        </w:rPr>
        <w:t>；</w:t>
      </w:r>
    </w:p>
    <w:p w14:paraId="669F921F" w14:textId="77777777" w:rsidR="007C736D" w:rsidRDefault="00662CFB">
      <w:pPr>
        <w:spacing w:line="360" w:lineRule="auto"/>
        <w:ind w:firstLine="480"/>
        <w:rPr>
          <w:bCs/>
          <w:sz w:val="24"/>
        </w:rPr>
      </w:pPr>
      <w:r>
        <w:rPr>
          <w:bCs/>
          <w:sz w:val="24"/>
        </w:rPr>
        <w:t>19</w:t>
      </w:r>
      <w:r>
        <w:rPr>
          <w:bCs/>
          <w:sz w:val="24"/>
        </w:rPr>
        <w:t>、本基金连续发生巨额赎回并暂停接受赎回申请</w:t>
      </w:r>
      <w:r>
        <w:rPr>
          <w:rFonts w:hint="eastAsia"/>
          <w:bCs/>
          <w:sz w:val="24"/>
        </w:rPr>
        <w:t>或延缓支付赎回款项</w:t>
      </w:r>
      <w:r>
        <w:rPr>
          <w:bCs/>
          <w:sz w:val="24"/>
        </w:rPr>
        <w:t>；</w:t>
      </w:r>
    </w:p>
    <w:p w14:paraId="4AE6EB6D" w14:textId="77777777" w:rsidR="007C736D" w:rsidRDefault="00662CFB">
      <w:pPr>
        <w:spacing w:line="360" w:lineRule="auto"/>
        <w:ind w:firstLine="480"/>
        <w:rPr>
          <w:bCs/>
          <w:sz w:val="24"/>
        </w:rPr>
      </w:pPr>
      <w:r>
        <w:rPr>
          <w:rFonts w:hint="eastAsia"/>
          <w:bCs/>
          <w:sz w:val="24"/>
        </w:rPr>
        <w:t>2</w:t>
      </w:r>
      <w:r>
        <w:rPr>
          <w:bCs/>
          <w:sz w:val="24"/>
        </w:rPr>
        <w:t>0</w:t>
      </w:r>
      <w:r>
        <w:rPr>
          <w:rFonts w:hint="eastAsia"/>
          <w:bCs/>
          <w:sz w:val="24"/>
        </w:rPr>
        <w:t>、</w:t>
      </w:r>
      <w:r>
        <w:rPr>
          <w:bCs/>
          <w:sz w:val="24"/>
        </w:rPr>
        <w:t>本基金暂停接受申购、赎回申请</w:t>
      </w:r>
      <w:r>
        <w:rPr>
          <w:rFonts w:hint="eastAsia"/>
          <w:bCs/>
          <w:sz w:val="24"/>
        </w:rPr>
        <w:t>或</w:t>
      </w:r>
      <w:r>
        <w:rPr>
          <w:bCs/>
          <w:sz w:val="24"/>
        </w:rPr>
        <w:t>重新接受申购、赎回</w:t>
      </w:r>
      <w:r>
        <w:rPr>
          <w:rFonts w:hint="eastAsia"/>
          <w:bCs/>
          <w:sz w:val="24"/>
        </w:rPr>
        <w:t>申请</w:t>
      </w:r>
      <w:r>
        <w:rPr>
          <w:bCs/>
          <w:sz w:val="24"/>
        </w:rPr>
        <w:t>；</w:t>
      </w:r>
    </w:p>
    <w:p w14:paraId="1E5CF10F" w14:textId="77777777" w:rsidR="007C736D" w:rsidRDefault="00662CFB">
      <w:pPr>
        <w:spacing w:line="360" w:lineRule="auto"/>
        <w:ind w:firstLine="480"/>
        <w:rPr>
          <w:bCs/>
          <w:sz w:val="24"/>
        </w:rPr>
      </w:pPr>
      <w:r>
        <w:rPr>
          <w:rFonts w:hint="eastAsia"/>
          <w:bCs/>
          <w:sz w:val="24"/>
        </w:rPr>
        <w:t>2</w:t>
      </w:r>
      <w:r>
        <w:rPr>
          <w:bCs/>
          <w:sz w:val="24"/>
        </w:rPr>
        <w:t>1</w:t>
      </w:r>
      <w:r>
        <w:rPr>
          <w:rFonts w:hint="eastAsia"/>
          <w:bCs/>
          <w:sz w:val="24"/>
        </w:rPr>
        <w:t>、调整基金份额类别的设置；</w:t>
      </w:r>
    </w:p>
    <w:p w14:paraId="13D45418" w14:textId="77777777" w:rsidR="007C736D" w:rsidRDefault="00662CFB">
      <w:pPr>
        <w:spacing w:line="360" w:lineRule="auto"/>
        <w:ind w:firstLine="480"/>
        <w:rPr>
          <w:bCs/>
          <w:sz w:val="24"/>
        </w:rPr>
      </w:pPr>
      <w:r>
        <w:rPr>
          <w:rFonts w:hint="eastAsia"/>
          <w:bCs/>
          <w:sz w:val="24"/>
        </w:rPr>
        <w:t>2</w:t>
      </w:r>
      <w:r>
        <w:rPr>
          <w:bCs/>
          <w:sz w:val="24"/>
        </w:rPr>
        <w:t>2</w:t>
      </w:r>
      <w:r>
        <w:rPr>
          <w:rFonts w:hint="eastAsia"/>
          <w:bCs/>
          <w:sz w:val="24"/>
        </w:rPr>
        <w:t>、基金管理人履行适当程序后，基金推出新业务或服务；</w:t>
      </w:r>
    </w:p>
    <w:p w14:paraId="710413D6" w14:textId="77777777" w:rsidR="007C736D" w:rsidRDefault="00662CFB">
      <w:pPr>
        <w:spacing w:line="360" w:lineRule="auto"/>
        <w:ind w:firstLine="480"/>
        <w:rPr>
          <w:bCs/>
          <w:sz w:val="24"/>
        </w:rPr>
      </w:pPr>
      <w:r>
        <w:rPr>
          <w:bCs/>
          <w:sz w:val="24"/>
        </w:rPr>
        <w:t>23</w:t>
      </w:r>
      <w:r>
        <w:rPr>
          <w:bCs/>
          <w:sz w:val="24"/>
        </w:rPr>
        <w:t>、</w:t>
      </w:r>
      <w:r>
        <w:rPr>
          <w:rFonts w:hint="eastAsia"/>
          <w:bCs/>
          <w:sz w:val="24"/>
        </w:rPr>
        <w:t>发生涉及基金申购、赎回事项调整或潜在影响投资者赎回等重大事项时；</w:t>
      </w:r>
    </w:p>
    <w:p w14:paraId="47BC038B" w14:textId="77777777" w:rsidR="007C736D" w:rsidRDefault="00662CFB">
      <w:pPr>
        <w:spacing w:line="360" w:lineRule="auto"/>
        <w:ind w:firstLine="480"/>
        <w:rPr>
          <w:bCs/>
          <w:sz w:val="24"/>
        </w:rPr>
      </w:pPr>
      <w:r>
        <w:rPr>
          <w:bCs/>
          <w:sz w:val="24"/>
        </w:rPr>
        <w:t>24</w:t>
      </w:r>
      <w:r>
        <w:rPr>
          <w:rFonts w:hint="eastAsia"/>
          <w:bCs/>
          <w:sz w:val="24"/>
        </w:rPr>
        <w:t>、基金管理人采用摆动定价机制进行估值；</w:t>
      </w:r>
    </w:p>
    <w:p w14:paraId="409739B1" w14:textId="77777777" w:rsidR="007C736D" w:rsidRDefault="00662CFB">
      <w:pPr>
        <w:spacing w:line="360" w:lineRule="auto"/>
        <w:ind w:firstLine="480"/>
        <w:rPr>
          <w:bCs/>
          <w:sz w:val="24"/>
        </w:rPr>
      </w:pPr>
      <w:r>
        <w:rPr>
          <w:rFonts w:hint="eastAsia"/>
          <w:bCs/>
          <w:sz w:val="24"/>
        </w:rPr>
        <w:t>25</w:t>
      </w:r>
      <w:r>
        <w:rPr>
          <w:rFonts w:hint="eastAsia"/>
          <w:bCs/>
          <w:sz w:val="24"/>
        </w:rPr>
        <w:t>、当基金管理人启用侧袋机制、清算特定资产、终止侧袋机制等事项时；</w:t>
      </w:r>
    </w:p>
    <w:p w14:paraId="571742A7" w14:textId="77777777" w:rsidR="007C736D" w:rsidRDefault="00662CFB">
      <w:pPr>
        <w:spacing w:line="360" w:lineRule="auto"/>
        <w:ind w:firstLine="480"/>
        <w:rPr>
          <w:bCs/>
          <w:sz w:val="24"/>
        </w:rPr>
      </w:pPr>
      <w:r>
        <w:rPr>
          <w:bCs/>
          <w:sz w:val="24"/>
        </w:rPr>
        <w:t>26</w:t>
      </w:r>
      <w:r>
        <w:rPr>
          <w:rFonts w:hint="eastAsia"/>
          <w:bCs/>
          <w:sz w:val="24"/>
        </w:rPr>
        <w:t>、基金信息披露义务人认为可能对基金份额持有人权益或者基金份额的价格产生重大影响的其他事项或</w:t>
      </w:r>
      <w:r>
        <w:rPr>
          <w:bCs/>
          <w:sz w:val="24"/>
        </w:rPr>
        <w:t>中国证监会规定的其他事项。</w:t>
      </w:r>
    </w:p>
    <w:p w14:paraId="145394D2" w14:textId="77777777" w:rsidR="007C736D" w:rsidRDefault="00662CFB">
      <w:pPr>
        <w:spacing w:line="360" w:lineRule="auto"/>
        <w:ind w:firstLine="480"/>
        <w:rPr>
          <w:bCs/>
          <w:sz w:val="24"/>
        </w:rPr>
      </w:pPr>
      <w:r>
        <w:rPr>
          <w:bCs/>
          <w:sz w:val="24"/>
        </w:rPr>
        <w:t>（八）澄清公告</w:t>
      </w:r>
    </w:p>
    <w:p w14:paraId="4CFE6268" w14:textId="77777777" w:rsidR="007C736D" w:rsidRDefault="00662CFB">
      <w:pPr>
        <w:spacing w:line="360" w:lineRule="auto"/>
        <w:ind w:firstLine="480"/>
        <w:rPr>
          <w:bCs/>
          <w:sz w:val="24"/>
        </w:rPr>
      </w:pPr>
      <w:r>
        <w:rPr>
          <w:bCs/>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w:t>
      </w:r>
    </w:p>
    <w:p w14:paraId="3A8535E7" w14:textId="77777777" w:rsidR="007C736D" w:rsidRDefault="00662CFB">
      <w:pPr>
        <w:spacing w:line="360" w:lineRule="auto"/>
        <w:ind w:firstLine="480"/>
        <w:rPr>
          <w:bCs/>
          <w:sz w:val="24"/>
        </w:rPr>
      </w:pPr>
      <w:r>
        <w:rPr>
          <w:bCs/>
          <w:sz w:val="24"/>
        </w:rPr>
        <w:t>（九）基金份额持有人大会决议</w:t>
      </w:r>
    </w:p>
    <w:p w14:paraId="50E7AC67" w14:textId="77777777" w:rsidR="007C736D" w:rsidRDefault="00662CFB">
      <w:pPr>
        <w:spacing w:line="360" w:lineRule="auto"/>
        <w:ind w:firstLine="480"/>
        <w:rPr>
          <w:bCs/>
          <w:sz w:val="24"/>
        </w:rPr>
      </w:pPr>
      <w:r>
        <w:rPr>
          <w:bCs/>
          <w:sz w:val="24"/>
        </w:rPr>
        <w:t>基金份额持有人大会决定的事</w:t>
      </w:r>
      <w:r>
        <w:rPr>
          <w:bCs/>
          <w:sz w:val="24"/>
        </w:rPr>
        <w:t>项，应当依法报</w:t>
      </w:r>
      <w:r>
        <w:rPr>
          <w:rFonts w:hint="eastAsia"/>
          <w:bCs/>
          <w:sz w:val="24"/>
        </w:rPr>
        <w:t>中国证监会</w:t>
      </w:r>
      <w:r>
        <w:rPr>
          <w:bCs/>
          <w:sz w:val="24"/>
        </w:rPr>
        <w:t>备案，并予以公</w:t>
      </w:r>
      <w:r>
        <w:rPr>
          <w:bCs/>
          <w:sz w:val="24"/>
        </w:rPr>
        <w:lastRenderedPageBreak/>
        <w:t>告。</w:t>
      </w:r>
    </w:p>
    <w:p w14:paraId="22B71B0C" w14:textId="77777777" w:rsidR="007C736D" w:rsidRDefault="00662CFB">
      <w:pPr>
        <w:spacing w:line="360" w:lineRule="auto"/>
        <w:ind w:firstLine="480"/>
        <w:rPr>
          <w:bCs/>
          <w:sz w:val="24"/>
        </w:rPr>
      </w:pPr>
      <w:r>
        <w:rPr>
          <w:rFonts w:hint="eastAsia"/>
          <w:bCs/>
          <w:sz w:val="24"/>
        </w:rPr>
        <w:t>（十）清算报告</w:t>
      </w:r>
    </w:p>
    <w:p w14:paraId="67CCE692" w14:textId="77777777" w:rsidR="007C736D" w:rsidRDefault="00662CFB">
      <w:pPr>
        <w:spacing w:line="360" w:lineRule="auto"/>
        <w:ind w:firstLine="480"/>
        <w:rPr>
          <w:bCs/>
          <w:sz w:val="24"/>
        </w:rPr>
      </w:pPr>
      <w:r>
        <w:rPr>
          <w:rFonts w:hint="eastAsia"/>
          <w:bCs/>
          <w:sz w:val="24"/>
        </w:rPr>
        <w:t>基金合同终止的，基金管理人应当依法组织基金财产清算小组对基金财产进行清算并作出清算报告。基金财产清算小组应当将清算报告登载在规定网站上，并将清算报告提示性公告登载在规定报刊上。</w:t>
      </w:r>
    </w:p>
    <w:p w14:paraId="1D63577B" w14:textId="77777777" w:rsidR="007C736D" w:rsidRDefault="00662CFB">
      <w:pPr>
        <w:spacing w:line="360" w:lineRule="auto"/>
        <w:ind w:firstLine="480"/>
        <w:rPr>
          <w:bCs/>
          <w:sz w:val="24"/>
        </w:rPr>
      </w:pPr>
      <w:r>
        <w:rPr>
          <w:rFonts w:hint="eastAsia"/>
          <w:bCs/>
          <w:sz w:val="24"/>
        </w:rPr>
        <w:t>（十一）资产支持证券的信息披露</w:t>
      </w:r>
    </w:p>
    <w:p w14:paraId="7A38CAAB" w14:textId="77777777" w:rsidR="007C736D" w:rsidRDefault="00662CFB">
      <w:pPr>
        <w:spacing w:line="360" w:lineRule="auto"/>
        <w:ind w:firstLine="480"/>
        <w:rPr>
          <w:bCs/>
          <w:sz w:val="24"/>
        </w:rPr>
      </w:pPr>
      <w:r>
        <w:rPr>
          <w:rFonts w:hint="eastAsia"/>
          <w:bCs/>
          <w:sz w:val="24"/>
        </w:rPr>
        <w:t>基金管理人应在基金年度</w:t>
      </w:r>
      <w:r>
        <w:rPr>
          <w:bCs/>
          <w:sz w:val="24"/>
        </w:rPr>
        <w:t>报告</w:t>
      </w:r>
      <w:r>
        <w:rPr>
          <w:rFonts w:hint="eastAsia"/>
          <w:bCs/>
          <w:sz w:val="24"/>
        </w:rPr>
        <w:t>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bCs/>
          <w:sz w:val="24"/>
        </w:rPr>
        <w:t>10</w:t>
      </w:r>
      <w:r>
        <w:rPr>
          <w:rFonts w:hint="eastAsia"/>
          <w:bCs/>
          <w:sz w:val="24"/>
        </w:rPr>
        <w:t>名资产支持证券明细。</w:t>
      </w:r>
    </w:p>
    <w:p w14:paraId="0438A7A0" w14:textId="77777777" w:rsidR="007C736D" w:rsidRDefault="00662CFB">
      <w:pPr>
        <w:spacing w:line="360" w:lineRule="auto"/>
        <w:ind w:firstLine="480"/>
        <w:rPr>
          <w:bCs/>
          <w:sz w:val="24"/>
        </w:rPr>
      </w:pPr>
      <w:r>
        <w:rPr>
          <w:rFonts w:hint="eastAsia"/>
          <w:bCs/>
          <w:sz w:val="24"/>
        </w:rPr>
        <w:t>（十二）</w:t>
      </w:r>
      <w:bookmarkStart w:id="412" w:name="_Hlk136261515"/>
      <w:r>
        <w:rPr>
          <w:rFonts w:hint="eastAsia"/>
          <w:bCs/>
          <w:sz w:val="24"/>
        </w:rPr>
        <w:t>基金投资股指期货的信息披露</w:t>
      </w:r>
      <w:bookmarkEnd w:id="412"/>
    </w:p>
    <w:p w14:paraId="71EED446" w14:textId="77777777" w:rsidR="007C736D" w:rsidRDefault="00662CFB">
      <w:pPr>
        <w:spacing w:line="360" w:lineRule="auto"/>
        <w:ind w:firstLine="480"/>
        <w:rPr>
          <w:bCs/>
          <w:sz w:val="24"/>
        </w:rPr>
      </w:pPr>
      <w:r>
        <w:rPr>
          <w:rFonts w:hint="eastAsia"/>
          <w:bCs/>
          <w:sz w:val="24"/>
        </w:rPr>
        <w:t>基金</w:t>
      </w:r>
      <w:r>
        <w:rPr>
          <w:bCs/>
          <w:sz w:val="24"/>
        </w:rPr>
        <w:t>管理人</w:t>
      </w:r>
      <w:r>
        <w:rPr>
          <w:rFonts w:hint="eastAsia"/>
          <w:bCs/>
          <w:sz w:val="24"/>
        </w:rPr>
        <w:t>需按照法规要求在季度报告、中期报告、年度报告等定期报告和招募说明书（更新）等文件中披露股指期货交易情况，包括投资政策、持仓情况、损益情况、风险指标等，并充分揭示股指期货交易对基金总体风险的影响以</w:t>
      </w:r>
      <w:r>
        <w:rPr>
          <w:rFonts w:hint="eastAsia"/>
          <w:bCs/>
          <w:sz w:val="24"/>
        </w:rPr>
        <w:t>及是否符合既定的投资政策和投资目标等。</w:t>
      </w:r>
    </w:p>
    <w:p w14:paraId="5028E7D1" w14:textId="77777777" w:rsidR="007C736D" w:rsidRDefault="00662CFB">
      <w:pPr>
        <w:spacing w:line="360" w:lineRule="auto"/>
        <w:ind w:firstLine="480"/>
        <w:rPr>
          <w:bCs/>
          <w:sz w:val="24"/>
        </w:rPr>
      </w:pPr>
      <w:r>
        <w:rPr>
          <w:rFonts w:hint="eastAsia"/>
          <w:bCs/>
          <w:sz w:val="24"/>
        </w:rPr>
        <w:t>（十三）基金投资国债期货的信息披露</w:t>
      </w:r>
      <w:r>
        <w:rPr>
          <w:rFonts w:hint="eastAsia"/>
          <w:bCs/>
          <w:sz w:val="24"/>
        </w:rPr>
        <w:t xml:space="preserve"> </w:t>
      </w:r>
    </w:p>
    <w:p w14:paraId="28039A67" w14:textId="77777777" w:rsidR="007C736D" w:rsidRDefault="00662CFB">
      <w:pPr>
        <w:spacing w:line="360" w:lineRule="auto"/>
        <w:ind w:firstLine="480"/>
        <w:rPr>
          <w:bCs/>
          <w:sz w:val="24"/>
        </w:rPr>
      </w:pPr>
      <w:r>
        <w:rPr>
          <w:rFonts w:hint="eastAsia"/>
          <w:bCs/>
          <w:sz w:val="24"/>
        </w:rPr>
        <w:t>基金管理人应当在季度报告、中期报告、年度报告等定期报告和招募说明书（更新）等文件中披露国债期货交易情况，包括投资政策、持仓情况、损益情况、风险指标等，并充分揭示国债期货交易对本基金总体风险的影响以及是否符合既定的投资政策和投资目标。</w:t>
      </w:r>
    </w:p>
    <w:p w14:paraId="0D5426F0" w14:textId="77777777" w:rsidR="007C736D" w:rsidRDefault="00662CFB">
      <w:pPr>
        <w:spacing w:line="360" w:lineRule="auto"/>
        <w:ind w:firstLine="480"/>
        <w:rPr>
          <w:bCs/>
          <w:sz w:val="24"/>
        </w:rPr>
      </w:pPr>
      <w:r>
        <w:rPr>
          <w:rFonts w:hint="eastAsia"/>
          <w:bCs/>
          <w:sz w:val="24"/>
        </w:rPr>
        <w:t>（十四）</w:t>
      </w:r>
      <w:bookmarkStart w:id="413" w:name="_Hlk136261539"/>
      <w:r>
        <w:rPr>
          <w:rFonts w:hint="eastAsia"/>
          <w:bCs/>
          <w:sz w:val="24"/>
        </w:rPr>
        <w:t>基金投资股票期权的信息披露</w:t>
      </w:r>
      <w:bookmarkEnd w:id="413"/>
      <w:r>
        <w:rPr>
          <w:rFonts w:hint="eastAsia"/>
          <w:bCs/>
          <w:sz w:val="24"/>
        </w:rPr>
        <w:t xml:space="preserve"> </w:t>
      </w:r>
    </w:p>
    <w:p w14:paraId="14009A1F" w14:textId="77777777" w:rsidR="007C736D" w:rsidRDefault="00662CFB">
      <w:pPr>
        <w:spacing w:line="360" w:lineRule="auto"/>
        <w:ind w:firstLine="480"/>
        <w:rPr>
          <w:bCs/>
          <w:sz w:val="24"/>
        </w:rPr>
      </w:pPr>
      <w:r>
        <w:rPr>
          <w:rFonts w:hint="eastAsia"/>
          <w:bCs/>
          <w:sz w:val="24"/>
        </w:rPr>
        <w:t>基金管理人应当在定期信息披露文件中披露参与股票期权交易的有关情况，包括投资政策、持仓情况、损益情况、风险指标、估值方法等，并充分揭示股票期权交易对基金总体风险的影</w:t>
      </w:r>
      <w:r>
        <w:rPr>
          <w:rFonts w:hint="eastAsia"/>
          <w:bCs/>
          <w:sz w:val="24"/>
        </w:rPr>
        <w:t>响以及是否符合既定的投资政策和投资目标。</w:t>
      </w:r>
    </w:p>
    <w:p w14:paraId="1AD6D1BE" w14:textId="77777777" w:rsidR="007C736D" w:rsidRDefault="00662CFB">
      <w:pPr>
        <w:spacing w:line="360" w:lineRule="auto"/>
        <w:ind w:firstLine="480"/>
        <w:rPr>
          <w:bCs/>
          <w:sz w:val="24"/>
        </w:rPr>
      </w:pPr>
      <w:r>
        <w:rPr>
          <w:rFonts w:hint="eastAsia"/>
          <w:bCs/>
          <w:sz w:val="24"/>
        </w:rPr>
        <w:t>（十五）</w:t>
      </w:r>
      <w:bookmarkStart w:id="414" w:name="_Hlk60133857"/>
      <w:r>
        <w:rPr>
          <w:rFonts w:hint="eastAsia"/>
          <w:bCs/>
          <w:sz w:val="24"/>
        </w:rPr>
        <w:t>基金投资非公开发行股票的信息披露</w:t>
      </w:r>
      <w:bookmarkEnd w:id="414"/>
    </w:p>
    <w:p w14:paraId="60EBBF7F" w14:textId="77777777" w:rsidR="007C736D" w:rsidRDefault="00662CFB">
      <w:pPr>
        <w:spacing w:line="360" w:lineRule="auto"/>
        <w:ind w:firstLine="480"/>
        <w:rPr>
          <w:bCs/>
          <w:sz w:val="24"/>
        </w:rPr>
      </w:pPr>
      <w:r>
        <w:rPr>
          <w:rFonts w:hint="eastAsia"/>
          <w:bCs/>
          <w:sz w:val="24"/>
        </w:rPr>
        <w:t>基金管理人应在本基金投资非公开发行股票后两个交易日内，在中国证监会规定媒介披露所投资非公开发行股票的名称、数量、总成本、账面价值，以及总成本和账面价值占基金资产净值的比例、锁定期等信息。</w:t>
      </w:r>
    </w:p>
    <w:p w14:paraId="0DC3F354" w14:textId="77777777" w:rsidR="007C736D" w:rsidRDefault="00662CFB">
      <w:pPr>
        <w:spacing w:line="360" w:lineRule="auto"/>
        <w:ind w:firstLine="480"/>
        <w:rPr>
          <w:bCs/>
          <w:sz w:val="24"/>
        </w:rPr>
      </w:pPr>
      <w:r>
        <w:rPr>
          <w:rFonts w:hint="eastAsia"/>
          <w:bCs/>
          <w:sz w:val="24"/>
        </w:rPr>
        <w:lastRenderedPageBreak/>
        <w:t>（十六）</w:t>
      </w:r>
      <w:bookmarkStart w:id="415" w:name="_Hlk136261556"/>
      <w:r>
        <w:rPr>
          <w:rFonts w:hint="eastAsia"/>
          <w:bCs/>
          <w:sz w:val="24"/>
        </w:rPr>
        <w:t>参与港股通交易的信息披露</w:t>
      </w:r>
      <w:bookmarkEnd w:id="415"/>
    </w:p>
    <w:p w14:paraId="0F36081C" w14:textId="77777777" w:rsidR="007C736D" w:rsidRDefault="00662CFB">
      <w:pPr>
        <w:spacing w:line="360" w:lineRule="auto"/>
        <w:ind w:firstLine="480"/>
        <w:rPr>
          <w:bCs/>
          <w:sz w:val="24"/>
        </w:rPr>
      </w:pPr>
      <w:r>
        <w:rPr>
          <w:rFonts w:hint="eastAsia"/>
          <w:bCs/>
          <w:sz w:val="24"/>
        </w:rPr>
        <w:t>基金管理人应当在季度报告、中期报告、年度报告等定期报告和招募说明书（更新）等文件中披露参与港股通交易的相关情况。</w:t>
      </w:r>
    </w:p>
    <w:p w14:paraId="7326E045" w14:textId="77777777" w:rsidR="007C736D" w:rsidRDefault="00662CFB">
      <w:pPr>
        <w:spacing w:line="360" w:lineRule="auto"/>
        <w:ind w:firstLine="480"/>
        <w:rPr>
          <w:bCs/>
          <w:sz w:val="24"/>
        </w:rPr>
      </w:pPr>
      <w:r>
        <w:rPr>
          <w:rFonts w:hint="eastAsia"/>
          <w:bCs/>
          <w:sz w:val="24"/>
        </w:rPr>
        <w:t>（十七）投资信用衍生品的信息披露</w:t>
      </w:r>
    </w:p>
    <w:p w14:paraId="023BA53C" w14:textId="77777777" w:rsidR="007C736D" w:rsidRDefault="00662CFB">
      <w:pPr>
        <w:spacing w:line="360" w:lineRule="auto"/>
        <w:ind w:firstLine="480"/>
        <w:rPr>
          <w:bCs/>
          <w:sz w:val="24"/>
        </w:rPr>
      </w:pPr>
      <w:r>
        <w:rPr>
          <w:rFonts w:hint="eastAsia"/>
          <w:bCs/>
          <w:sz w:val="24"/>
        </w:rPr>
        <w:t>基金管理人应在季度报告、中期报告、年度报告等定期报告和招募</w:t>
      </w:r>
      <w:r>
        <w:rPr>
          <w:rFonts w:hint="eastAsia"/>
          <w:bCs/>
          <w:sz w:val="24"/>
        </w:rPr>
        <w:t>说明书（更新）等文件中披露信用衍生品的投资情况，包括投资策略、持仓情况等，并充分揭示投资信用衍生品对基金总体风险的影响以及是否符合既定的投资目标及策略。</w:t>
      </w:r>
    </w:p>
    <w:p w14:paraId="21828181" w14:textId="77777777" w:rsidR="007C736D" w:rsidRDefault="00662CFB">
      <w:pPr>
        <w:spacing w:line="360" w:lineRule="auto"/>
        <w:ind w:firstLine="480"/>
        <w:rPr>
          <w:bCs/>
          <w:sz w:val="24"/>
        </w:rPr>
      </w:pPr>
      <w:r>
        <w:rPr>
          <w:rFonts w:hint="eastAsia"/>
          <w:bCs/>
          <w:sz w:val="24"/>
        </w:rPr>
        <w:t>（十八）</w:t>
      </w:r>
      <w:bookmarkStart w:id="416" w:name="_Hlk60133868"/>
      <w:r>
        <w:rPr>
          <w:rFonts w:hint="eastAsia"/>
          <w:bCs/>
          <w:sz w:val="24"/>
        </w:rPr>
        <w:t>基金投资存托凭证的信息披露</w:t>
      </w:r>
      <w:bookmarkEnd w:id="416"/>
    </w:p>
    <w:p w14:paraId="49CB6422" w14:textId="77777777" w:rsidR="007C736D" w:rsidRDefault="00662CFB">
      <w:pPr>
        <w:spacing w:line="360" w:lineRule="auto"/>
        <w:ind w:firstLine="480"/>
        <w:rPr>
          <w:bCs/>
          <w:sz w:val="24"/>
        </w:rPr>
      </w:pPr>
      <w:r>
        <w:rPr>
          <w:rFonts w:hint="eastAsia"/>
          <w:bCs/>
          <w:sz w:val="24"/>
        </w:rPr>
        <w:t>本基金投资存托凭证的信息披露依照境内上市交易的股票执行。</w:t>
      </w:r>
    </w:p>
    <w:p w14:paraId="417DA647" w14:textId="77777777" w:rsidR="007C736D" w:rsidRDefault="00662CFB">
      <w:pPr>
        <w:spacing w:line="360" w:lineRule="auto"/>
        <w:ind w:firstLine="480"/>
        <w:rPr>
          <w:bCs/>
          <w:sz w:val="24"/>
        </w:rPr>
      </w:pPr>
      <w:r>
        <w:rPr>
          <w:rFonts w:hint="eastAsia"/>
          <w:bCs/>
          <w:sz w:val="24"/>
        </w:rPr>
        <w:t>（十九）实施侧袋机制期间的信息披露</w:t>
      </w:r>
      <w:r>
        <w:rPr>
          <w:rFonts w:hint="eastAsia"/>
          <w:bCs/>
          <w:sz w:val="24"/>
        </w:rPr>
        <w:t xml:space="preserve"> </w:t>
      </w:r>
    </w:p>
    <w:p w14:paraId="406CC360" w14:textId="77777777" w:rsidR="007C736D" w:rsidRDefault="00662CFB">
      <w:pPr>
        <w:spacing w:line="360" w:lineRule="auto"/>
        <w:ind w:firstLine="480"/>
        <w:rPr>
          <w:bCs/>
          <w:sz w:val="24"/>
        </w:rPr>
      </w:pPr>
      <w:r>
        <w:rPr>
          <w:rFonts w:hint="eastAsia"/>
          <w:bCs/>
          <w:sz w:val="24"/>
        </w:rPr>
        <w:t>本基金实施侧袋机制的，相关信息披露义务人应当根据法律法规、基金合同和招募说明书的规定进行信息披露，详见招募说明书的规定。</w:t>
      </w:r>
    </w:p>
    <w:p w14:paraId="2D0C3B95" w14:textId="77777777" w:rsidR="007C736D" w:rsidRDefault="00662CFB">
      <w:pPr>
        <w:spacing w:line="360" w:lineRule="auto"/>
        <w:ind w:firstLine="480"/>
        <w:rPr>
          <w:bCs/>
          <w:sz w:val="24"/>
        </w:rPr>
      </w:pPr>
      <w:r>
        <w:rPr>
          <w:rFonts w:hint="eastAsia"/>
          <w:bCs/>
          <w:sz w:val="24"/>
        </w:rPr>
        <w:t>（二十）</w:t>
      </w:r>
      <w:r>
        <w:rPr>
          <w:bCs/>
          <w:sz w:val="24"/>
        </w:rPr>
        <w:t>中国证监会规定的其他信息</w:t>
      </w:r>
      <w:r>
        <w:rPr>
          <w:rFonts w:hint="eastAsia"/>
          <w:bCs/>
          <w:sz w:val="24"/>
        </w:rPr>
        <w:t>。</w:t>
      </w:r>
    </w:p>
    <w:p w14:paraId="784EA5EA" w14:textId="77777777" w:rsidR="007C736D" w:rsidRDefault="00662CFB">
      <w:pPr>
        <w:spacing w:line="360" w:lineRule="auto"/>
        <w:ind w:firstLine="480"/>
        <w:rPr>
          <w:bCs/>
          <w:sz w:val="24"/>
        </w:rPr>
      </w:pPr>
      <w:r>
        <w:rPr>
          <w:bCs/>
          <w:sz w:val="24"/>
        </w:rPr>
        <w:t>六、信息披露事务管理</w:t>
      </w:r>
    </w:p>
    <w:p w14:paraId="2451B508" w14:textId="77777777" w:rsidR="007C736D" w:rsidRDefault="00662CFB">
      <w:pPr>
        <w:spacing w:line="360" w:lineRule="auto"/>
        <w:ind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14:paraId="2356CCC5" w14:textId="77777777" w:rsidR="007C736D" w:rsidRDefault="00662CFB">
      <w:pPr>
        <w:spacing w:line="360" w:lineRule="auto"/>
        <w:ind w:firstLine="480"/>
        <w:rPr>
          <w:bCs/>
          <w:sz w:val="24"/>
        </w:rPr>
      </w:pPr>
      <w:r>
        <w:rPr>
          <w:bCs/>
          <w:sz w:val="24"/>
        </w:rPr>
        <w:t>基金信息披露义务人公开披露基金信息，应当符合中国证监会相关基金信息披露内容与格式准则</w:t>
      </w:r>
      <w:r>
        <w:rPr>
          <w:rFonts w:hint="eastAsia"/>
          <w:bCs/>
          <w:sz w:val="24"/>
        </w:rPr>
        <w:t>等</w:t>
      </w:r>
      <w:r>
        <w:rPr>
          <w:bCs/>
          <w:sz w:val="24"/>
        </w:rPr>
        <w:t>法规的规定。</w:t>
      </w:r>
    </w:p>
    <w:p w14:paraId="4282CE71" w14:textId="77777777" w:rsidR="007C736D" w:rsidRDefault="00662CFB">
      <w:pPr>
        <w:spacing w:line="360" w:lineRule="auto"/>
        <w:ind w:firstLine="480"/>
        <w:rPr>
          <w:bCs/>
          <w:sz w:val="24"/>
        </w:rPr>
      </w:pPr>
      <w:r>
        <w:rPr>
          <w:bCs/>
          <w:sz w:val="24"/>
        </w:rPr>
        <w:t>基金托管人应当按照相关法律法规、中国证监会的规定和《基金合同》的约定，对基金管理人编制的基金资产净值、</w:t>
      </w:r>
      <w:r>
        <w:rPr>
          <w:rFonts w:hint="eastAsia"/>
          <w:bCs/>
          <w:sz w:val="24"/>
        </w:rPr>
        <w:t>各类基金份额的</w:t>
      </w:r>
      <w:r>
        <w:rPr>
          <w:bCs/>
          <w:sz w:val="24"/>
        </w:rPr>
        <w:t>基金份额净值、基金份额申购赎回价格、基金定期报告</w:t>
      </w:r>
      <w:r>
        <w:rPr>
          <w:rFonts w:hint="eastAsia"/>
          <w:bCs/>
          <w:sz w:val="24"/>
        </w:rPr>
        <w:t>、</w:t>
      </w:r>
      <w:r>
        <w:rPr>
          <w:bCs/>
          <w:sz w:val="24"/>
        </w:rPr>
        <w:t>更新的招募说明书</w:t>
      </w:r>
      <w:r>
        <w:rPr>
          <w:rFonts w:hint="eastAsia"/>
          <w:bCs/>
          <w:sz w:val="24"/>
        </w:rPr>
        <w:t>、基金产品资料概要、基金清算报告</w:t>
      </w:r>
      <w:r>
        <w:rPr>
          <w:bCs/>
          <w:sz w:val="24"/>
        </w:rPr>
        <w:t>等公开披露的相关基金信息进行复核、审查，并向基金管理人</w:t>
      </w:r>
      <w:r>
        <w:rPr>
          <w:rFonts w:hint="eastAsia"/>
          <w:bCs/>
          <w:sz w:val="24"/>
        </w:rPr>
        <w:t>进行书面或电子确认</w:t>
      </w:r>
      <w:r>
        <w:rPr>
          <w:bCs/>
          <w:sz w:val="24"/>
        </w:rPr>
        <w:t>。</w:t>
      </w:r>
    </w:p>
    <w:p w14:paraId="39729C93" w14:textId="77777777" w:rsidR="007C736D" w:rsidRDefault="00662CFB">
      <w:pPr>
        <w:spacing w:line="360" w:lineRule="auto"/>
        <w:ind w:firstLine="480"/>
        <w:rPr>
          <w:bCs/>
          <w:sz w:val="24"/>
        </w:rPr>
      </w:pPr>
      <w:r>
        <w:rPr>
          <w:bCs/>
          <w:sz w:val="24"/>
        </w:rPr>
        <w:t>基金管理人、基金托管</w:t>
      </w:r>
      <w:r>
        <w:rPr>
          <w:bCs/>
          <w:sz w:val="24"/>
        </w:rPr>
        <w:t>人应当在规定报刊</w:t>
      </w:r>
      <w:r>
        <w:rPr>
          <w:rFonts w:hint="eastAsia"/>
          <w:bCs/>
          <w:sz w:val="24"/>
        </w:rPr>
        <w:t>中选择一家报刊披露本基金信息。基金管理人、基金托管人应当向中国证监会基金电子披露网站报送拟披露的基金信息，并保证相关报送信息的真实、准确、完整、及时</w:t>
      </w:r>
      <w:r>
        <w:rPr>
          <w:bCs/>
          <w:sz w:val="24"/>
        </w:rPr>
        <w:t>。</w:t>
      </w:r>
    </w:p>
    <w:p w14:paraId="44AE27A0" w14:textId="77777777" w:rsidR="007C736D" w:rsidRDefault="00662CFB">
      <w:pPr>
        <w:spacing w:line="360" w:lineRule="auto"/>
        <w:ind w:firstLine="480"/>
        <w:rPr>
          <w:bCs/>
          <w:sz w:val="24"/>
        </w:rPr>
      </w:pPr>
      <w:r>
        <w:rPr>
          <w:bCs/>
          <w:sz w:val="24"/>
        </w:rPr>
        <w:t>基金管理人、基金托管人除依法在规定媒介上披露信息外，还可以根据需要在其他公共媒介披露信息，但是其他公共媒介不得早于规定媒介披露信息，</w:t>
      </w:r>
      <w:r>
        <w:rPr>
          <w:bCs/>
          <w:sz w:val="24"/>
        </w:rPr>
        <w:lastRenderedPageBreak/>
        <w:t>并且在不同媒介上披露同一信息的内容应当一致。</w:t>
      </w:r>
    </w:p>
    <w:p w14:paraId="699EF171" w14:textId="77777777" w:rsidR="007C736D" w:rsidRDefault="00662CFB">
      <w:pPr>
        <w:spacing w:line="360" w:lineRule="auto"/>
        <w:ind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1E6F8884" w14:textId="77777777" w:rsidR="007C736D" w:rsidRDefault="00662CFB">
      <w:pPr>
        <w:spacing w:line="360" w:lineRule="auto"/>
        <w:ind w:firstLine="480"/>
        <w:rPr>
          <w:bCs/>
          <w:sz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71608DC6" w14:textId="77777777" w:rsidR="007C736D" w:rsidRDefault="00662CFB">
      <w:pPr>
        <w:spacing w:line="360" w:lineRule="auto"/>
        <w:ind w:firstLine="480"/>
        <w:rPr>
          <w:bCs/>
          <w:sz w:val="24"/>
        </w:rPr>
      </w:pPr>
      <w:r>
        <w:rPr>
          <w:bCs/>
          <w:sz w:val="24"/>
        </w:rPr>
        <w:t>七、信息披露文件的存放与查阅</w:t>
      </w:r>
    </w:p>
    <w:p w14:paraId="49674F79" w14:textId="77777777" w:rsidR="007C736D" w:rsidRDefault="00662CFB">
      <w:pPr>
        <w:spacing w:line="360" w:lineRule="auto"/>
        <w:ind w:firstLine="480"/>
        <w:rPr>
          <w:bCs/>
          <w:sz w:val="24"/>
        </w:rPr>
      </w:pPr>
      <w:r>
        <w:rPr>
          <w:rFonts w:hint="eastAsia"/>
          <w:bCs/>
          <w:sz w:val="24"/>
        </w:rPr>
        <w:t>依法必须披露的信息发布后，基金管理人、基金托管人应当按照相关法律法规规定将信息置备于各自住所，供社会公众查阅、复制</w:t>
      </w:r>
      <w:r>
        <w:rPr>
          <w:bCs/>
          <w:sz w:val="24"/>
        </w:rPr>
        <w:t>。</w:t>
      </w:r>
    </w:p>
    <w:p w14:paraId="36B03B74" w14:textId="77777777" w:rsidR="007C736D" w:rsidRDefault="00662CFB">
      <w:pPr>
        <w:spacing w:line="360" w:lineRule="auto"/>
        <w:ind w:firstLine="480"/>
        <w:rPr>
          <w:bCs/>
          <w:sz w:val="24"/>
        </w:rPr>
      </w:pPr>
      <w:r>
        <w:rPr>
          <w:rFonts w:hint="eastAsia"/>
          <w:bCs/>
          <w:sz w:val="24"/>
        </w:rPr>
        <w:t>八、当出现下述情况时，基金管理人和基金托管人可暂停或延迟披露基金相</w:t>
      </w:r>
      <w:r>
        <w:rPr>
          <w:rFonts w:hint="eastAsia"/>
          <w:bCs/>
          <w:sz w:val="24"/>
        </w:rPr>
        <w:t>关信息：</w:t>
      </w:r>
    </w:p>
    <w:p w14:paraId="6E78BEAF" w14:textId="77777777" w:rsidR="007C736D" w:rsidRDefault="00662CFB">
      <w:pPr>
        <w:spacing w:line="360" w:lineRule="auto"/>
        <w:ind w:firstLine="480"/>
        <w:rPr>
          <w:bCs/>
          <w:sz w:val="24"/>
        </w:rPr>
      </w:pPr>
      <w:r>
        <w:rPr>
          <w:bCs/>
          <w:sz w:val="24"/>
        </w:rPr>
        <w:t>1</w:t>
      </w:r>
      <w:r>
        <w:rPr>
          <w:rFonts w:hint="eastAsia"/>
          <w:bCs/>
          <w:sz w:val="24"/>
        </w:rPr>
        <w:t>、不可抗力；</w:t>
      </w:r>
    </w:p>
    <w:p w14:paraId="11059770" w14:textId="77777777" w:rsidR="007C736D" w:rsidRDefault="00662CFB">
      <w:pPr>
        <w:spacing w:line="360" w:lineRule="auto"/>
        <w:ind w:firstLine="480"/>
        <w:rPr>
          <w:bCs/>
          <w:sz w:val="24"/>
        </w:rPr>
      </w:pPr>
      <w:r>
        <w:rPr>
          <w:rFonts w:hint="eastAsia"/>
          <w:bCs/>
          <w:sz w:val="24"/>
        </w:rPr>
        <w:t>2</w:t>
      </w:r>
      <w:r>
        <w:rPr>
          <w:rFonts w:hint="eastAsia"/>
          <w:bCs/>
          <w:sz w:val="24"/>
        </w:rPr>
        <w:t>、基金投资所涉及的证券、</w:t>
      </w:r>
      <w:r>
        <w:rPr>
          <w:bCs/>
          <w:sz w:val="24"/>
        </w:rPr>
        <w:t>期货</w:t>
      </w:r>
      <w:r>
        <w:rPr>
          <w:rFonts w:hint="eastAsia"/>
          <w:bCs/>
          <w:sz w:val="24"/>
        </w:rPr>
        <w:t>交易市场或外汇市场遇法定节假日或因其他原因暂停营业时；</w:t>
      </w:r>
    </w:p>
    <w:p w14:paraId="2F997D8F" w14:textId="77777777" w:rsidR="007C736D" w:rsidRDefault="00662CFB">
      <w:pPr>
        <w:spacing w:line="360" w:lineRule="auto"/>
        <w:ind w:firstLine="480"/>
        <w:rPr>
          <w:bCs/>
          <w:sz w:val="24"/>
        </w:rPr>
      </w:pPr>
      <w:r>
        <w:rPr>
          <w:rFonts w:hint="eastAsia"/>
          <w:bCs/>
          <w:sz w:val="24"/>
        </w:rPr>
        <w:t>3</w:t>
      </w:r>
      <w:r>
        <w:rPr>
          <w:rFonts w:hint="eastAsia"/>
          <w:bCs/>
          <w:sz w:val="24"/>
        </w:rPr>
        <w:t>、基金合同约定的暂停估值的情形；</w:t>
      </w:r>
    </w:p>
    <w:p w14:paraId="75ED5C86" w14:textId="77777777" w:rsidR="007C736D" w:rsidRDefault="00662CFB">
      <w:pPr>
        <w:spacing w:line="360" w:lineRule="auto"/>
        <w:ind w:firstLine="480"/>
        <w:rPr>
          <w:bCs/>
          <w:sz w:val="24"/>
        </w:rPr>
      </w:pPr>
      <w:r>
        <w:rPr>
          <w:rFonts w:hint="eastAsia"/>
          <w:bCs/>
          <w:sz w:val="24"/>
        </w:rPr>
        <w:t>4</w:t>
      </w:r>
      <w:r>
        <w:rPr>
          <w:rFonts w:hint="eastAsia"/>
          <w:bCs/>
          <w:sz w:val="24"/>
        </w:rPr>
        <w:t>、</w:t>
      </w:r>
      <w:bookmarkStart w:id="417" w:name="_Hlk60133912"/>
      <w:r>
        <w:rPr>
          <w:rFonts w:hint="eastAsia"/>
          <w:bCs/>
          <w:sz w:val="24"/>
        </w:rPr>
        <w:t>法律法规、基金合同或中国证监会规定的情况</w:t>
      </w:r>
      <w:bookmarkEnd w:id="417"/>
      <w:r>
        <w:rPr>
          <w:rFonts w:hint="eastAsia"/>
          <w:bCs/>
          <w:sz w:val="24"/>
        </w:rPr>
        <w:t>。</w:t>
      </w:r>
    </w:p>
    <w:p w14:paraId="39950FCF" w14:textId="77777777" w:rsidR="007C736D" w:rsidRDefault="00662CFB">
      <w:pPr>
        <w:pStyle w:val="1110"/>
        <w:jc w:val="center"/>
        <w:rPr>
          <w:b w:val="0"/>
        </w:rPr>
      </w:pPr>
      <w:r>
        <w:rPr>
          <w:b w:val="0"/>
        </w:rPr>
        <w:br w:type="page"/>
      </w:r>
      <w:bookmarkStart w:id="418" w:name="_Toc25647"/>
      <w:bookmarkStart w:id="419" w:name="_Toc9005"/>
      <w:bookmarkStart w:id="420" w:name="_Toc123102466"/>
      <w:bookmarkStart w:id="421" w:name="_Toc7170"/>
      <w:bookmarkStart w:id="422" w:name="_Toc6237"/>
      <w:bookmarkStart w:id="423" w:name="_Toc141703899"/>
      <w:bookmarkStart w:id="424" w:name="_Toc29891"/>
      <w:bookmarkStart w:id="425" w:name="_Toc8059"/>
      <w:bookmarkStart w:id="426" w:name="_Toc22978"/>
      <w:bookmarkStart w:id="427" w:name="_Toc98560364"/>
      <w:bookmarkStart w:id="428" w:name="_Toc25072228"/>
      <w:bookmarkStart w:id="429" w:name="_Toc8049"/>
      <w:bookmarkStart w:id="430" w:name="_Toc139991749"/>
      <w:bookmarkStart w:id="431" w:name="_Toc27464"/>
      <w:bookmarkStart w:id="432" w:name="_Toc123112247"/>
      <w:bookmarkStart w:id="433" w:name="_Toc123051465"/>
      <w:bookmarkStart w:id="434" w:name="_Toc10006"/>
      <w:bookmarkStart w:id="435" w:name="_Toc136360688"/>
      <w:r>
        <w:rPr>
          <w:rFonts w:hint="eastAsia"/>
          <w:b w:val="0"/>
          <w:sz w:val="30"/>
        </w:rPr>
        <w:lastRenderedPageBreak/>
        <w:t>第十九部分</w:t>
      </w:r>
      <w:bookmarkStart w:id="436" w:name="_Hlt88828593"/>
      <w:r>
        <w:rPr>
          <w:rFonts w:hint="eastAsia"/>
          <w:b w:val="0"/>
          <w:sz w:val="30"/>
          <w:szCs w:val="30"/>
        </w:rPr>
        <w:t xml:space="preserve"> </w:t>
      </w:r>
      <w:r>
        <w:rPr>
          <w:b w:val="0"/>
          <w:sz w:val="30"/>
        </w:rPr>
        <w:t xml:space="preserve"> </w:t>
      </w:r>
      <w:r>
        <w:rPr>
          <w:rFonts w:hint="eastAsia"/>
          <w:b w:val="0"/>
          <w:sz w:val="30"/>
        </w:rPr>
        <w:t>基金合同</w:t>
      </w:r>
      <w:bookmarkEnd w:id="436"/>
      <w:r>
        <w:rPr>
          <w:rFonts w:hint="eastAsia"/>
          <w:b w:val="0"/>
          <w:sz w:val="30"/>
        </w:rPr>
        <w:t>的变更、终止与基金财产的清算</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4DE84CE9" w14:textId="77777777" w:rsidR="007C736D" w:rsidRDefault="007C736D">
      <w:pPr>
        <w:spacing w:line="360" w:lineRule="auto"/>
        <w:ind w:firstLine="480"/>
        <w:rPr>
          <w:bCs/>
          <w:sz w:val="24"/>
        </w:rPr>
      </w:pPr>
    </w:p>
    <w:p w14:paraId="2B8517B2" w14:textId="77777777" w:rsidR="007C736D" w:rsidRDefault="00662CFB">
      <w:pPr>
        <w:spacing w:line="360" w:lineRule="auto"/>
        <w:ind w:firstLine="480"/>
        <w:rPr>
          <w:bCs/>
          <w:sz w:val="24"/>
        </w:rPr>
      </w:pPr>
      <w:bookmarkStart w:id="437" w:name="_Toc79392639"/>
      <w:r>
        <w:rPr>
          <w:bCs/>
          <w:sz w:val="24"/>
        </w:rPr>
        <w:t>一、《基金合同》的变更</w:t>
      </w:r>
      <w:bookmarkEnd w:id="437"/>
    </w:p>
    <w:p w14:paraId="7D896A00" w14:textId="77777777" w:rsidR="007C736D" w:rsidRDefault="00662CFB">
      <w:pPr>
        <w:spacing w:line="360" w:lineRule="auto"/>
        <w:ind w:firstLine="48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w:t>
      </w:r>
      <w:r>
        <w:rPr>
          <w:rFonts w:hint="eastAsia"/>
          <w:bCs/>
          <w:sz w:val="24"/>
        </w:rPr>
        <w:t>法律法规规定和基金合同约定</w:t>
      </w:r>
      <w:r>
        <w:rPr>
          <w:bCs/>
          <w:sz w:val="24"/>
        </w:rPr>
        <w:t>可不经基金份额持有人大会决议通过的事项，由基金管理人和基金托管人同意</w:t>
      </w:r>
      <w:r>
        <w:rPr>
          <w:rFonts w:hint="eastAsia"/>
          <w:bCs/>
          <w:sz w:val="24"/>
          <w:lang w:bidi="en-US"/>
        </w:rPr>
        <w:t>并履行适当程序</w:t>
      </w:r>
      <w:r>
        <w:rPr>
          <w:bCs/>
          <w:sz w:val="24"/>
        </w:rPr>
        <w:t>后</w:t>
      </w:r>
      <w:r>
        <w:rPr>
          <w:bCs/>
          <w:sz w:val="24"/>
        </w:rPr>
        <w:t>变更并公告。</w:t>
      </w:r>
    </w:p>
    <w:p w14:paraId="5144704C" w14:textId="77777777" w:rsidR="007C736D" w:rsidRDefault="00662CFB">
      <w:pPr>
        <w:spacing w:line="360" w:lineRule="auto"/>
        <w:ind w:firstLine="480"/>
        <w:rPr>
          <w:bCs/>
          <w:sz w:val="24"/>
        </w:rPr>
      </w:pPr>
      <w:r>
        <w:rPr>
          <w:bCs/>
          <w:sz w:val="24"/>
        </w:rPr>
        <w:t>2</w:t>
      </w:r>
      <w:r>
        <w:rPr>
          <w:bCs/>
          <w:sz w:val="24"/>
        </w:rPr>
        <w:t>、关于《基金合同》变更的基金份额持有人大会决议</w:t>
      </w:r>
      <w:r>
        <w:rPr>
          <w:rFonts w:hint="eastAsia"/>
          <w:bCs/>
          <w:sz w:val="24"/>
        </w:rPr>
        <w:t>自生效后方可执行，自</w:t>
      </w:r>
      <w:r>
        <w:rPr>
          <w:bCs/>
          <w:sz w:val="24"/>
        </w:rPr>
        <w:t>决议生效后两日内在规定媒介公告。</w:t>
      </w:r>
    </w:p>
    <w:p w14:paraId="5B04288A" w14:textId="77777777" w:rsidR="007C736D" w:rsidRDefault="00662CFB">
      <w:pPr>
        <w:spacing w:line="360" w:lineRule="auto"/>
        <w:ind w:firstLine="480"/>
        <w:rPr>
          <w:sz w:val="24"/>
        </w:rPr>
      </w:pPr>
      <w:r>
        <w:rPr>
          <w:rFonts w:hint="eastAsia"/>
          <w:sz w:val="24"/>
        </w:rPr>
        <w:t>二、《基金合同》的终止事由</w:t>
      </w:r>
    </w:p>
    <w:p w14:paraId="65E269E9" w14:textId="77777777" w:rsidR="007C736D" w:rsidRDefault="00662CFB">
      <w:pPr>
        <w:spacing w:line="360" w:lineRule="auto"/>
        <w:ind w:firstLine="480"/>
        <w:rPr>
          <w:bCs/>
          <w:sz w:val="24"/>
        </w:rPr>
      </w:pPr>
      <w:r>
        <w:rPr>
          <w:bCs/>
          <w:sz w:val="24"/>
        </w:rPr>
        <w:t>有下列情形之一的，</w:t>
      </w:r>
      <w:r>
        <w:rPr>
          <w:rFonts w:hint="eastAsia"/>
          <w:bCs/>
          <w:sz w:val="24"/>
        </w:rPr>
        <w:t>经履行相关程序后，</w:t>
      </w:r>
      <w:r>
        <w:rPr>
          <w:bCs/>
          <w:sz w:val="24"/>
        </w:rPr>
        <w:t>《基金合同》应当终止：</w:t>
      </w:r>
    </w:p>
    <w:p w14:paraId="094F7E48" w14:textId="77777777" w:rsidR="007C736D" w:rsidRDefault="00662CFB">
      <w:pPr>
        <w:spacing w:line="360" w:lineRule="auto"/>
        <w:ind w:firstLine="480"/>
        <w:rPr>
          <w:bCs/>
          <w:sz w:val="24"/>
        </w:rPr>
      </w:pPr>
      <w:r>
        <w:rPr>
          <w:bCs/>
          <w:sz w:val="24"/>
        </w:rPr>
        <w:t>1</w:t>
      </w:r>
      <w:r>
        <w:rPr>
          <w:bCs/>
          <w:sz w:val="24"/>
        </w:rPr>
        <w:t>、基金份额持有人大会决定终止的；</w:t>
      </w:r>
    </w:p>
    <w:p w14:paraId="2C97FB78" w14:textId="77777777" w:rsidR="007C736D" w:rsidRDefault="00662CFB">
      <w:pPr>
        <w:spacing w:line="360" w:lineRule="auto"/>
        <w:ind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004C2D4E" w14:textId="77777777" w:rsidR="007C736D" w:rsidRDefault="00662CFB">
      <w:pPr>
        <w:spacing w:line="360" w:lineRule="auto"/>
        <w:ind w:firstLine="480"/>
        <w:rPr>
          <w:bCs/>
          <w:sz w:val="24"/>
        </w:rPr>
      </w:pPr>
      <w:r>
        <w:rPr>
          <w:rFonts w:hint="eastAsia"/>
          <w:bCs/>
          <w:sz w:val="24"/>
        </w:rPr>
        <w:t>3</w:t>
      </w:r>
      <w:r>
        <w:rPr>
          <w:rFonts w:hint="eastAsia"/>
          <w:bCs/>
          <w:sz w:val="24"/>
        </w:rPr>
        <w:t>、</w:t>
      </w:r>
      <w:r>
        <w:rPr>
          <w:bCs/>
          <w:sz w:val="24"/>
        </w:rPr>
        <w:t>《基金合同》约定的其他情形；</w:t>
      </w:r>
    </w:p>
    <w:p w14:paraId="258BB8AB" w14:textId="77777777" w:rsidR="007C736D" w:rsidRDefault="00662CFB">
      <w:pPr>
        <w:spacing w:line="360" w:lineRule="auto"/>
        <w:ind w:firstLine="480"/>
        <w:rPr>
          <w:bCs/>
          <w:sz w:val="24"/>
        </w:rPr>
      </w:pPr>
      <w:r>
        <w:rPr>
          <w:rFonts w:hint="eastAsia"/>
          <w:bCs/>
          <w:sz w:val="24"/>
        </w:rPr>
        <w:t>4</w:t>
      </w:r>
      <w:r>
        <w:rPr>
          <w:bCs/>
          <w:sz w:val="24"/>
        </w:rPr>
        <w:t>、相关法律法规和中国证监会规定的其他情况。</w:t>
      </w:r>
    </w:p>
    <w:p w14:paraId="3EDF6928" w14:textId="77777777" w:rsidR="007C736D" w:rsidRDefault="00662CFB">
      <w:pPr>
        <w:spacing w:line="360" w:lineRule="auto"/>
        <w:ind w:firstLine="480"/>
        <w:rPr>
          <w:bCs/>
          <w:sz w:val="24"/>
        </w:rPr>
      </w:pPr>
      <w:r>
        <w:rPr>
          <w:bCs/>
          <w:sz w:val="24"/>
        </w:rPr>
        <w:t>三、基金财产的清算</w:t>
      </w:r>
    </w:p>
    <w:p w14:paraId="23D463AE" w14:textId="77777777" w:rsidR="007C736D" w:rsidRDefault="00662CFB">
      <w:pPr>
        <w:spacing w:line="360" w:lineRule="auto"/>
        <w:ind w:firstLine="480"/>
        <w:rPr>
          <w:bCs/>
          <w:sz w:val="24"/>
        </w:rPr>
      </w:pPr>
      <w:r>
        <w:rPr>
          <w:bCs/>
          <w:sz w:val="24"/>
        </w:rPr>
        <w:t>1</w:t>
      </w:r>
      <w:r>
        <w:rPr>
          <w:bCs/>
          <w:sz w:val="24"/>
        </w:rPr>
        <w:t>、基金财产清算小组：自出现</w:t>
      </w:r>
      <w:r>
        <w:rPr>
          <w:rFonts w:hint="eastAsia"/>
          <w:bCs/>
          <w:sz w:val="24"/>
        </w:rPr>
        <w:t>《</w:t>
      </w:r>
      <w:r>
        <w:rPr>
          <w:bCs/>
          <w:sz w:val="24"/>
        </w:rPr>
        <w:t>基金合同</w:t>
      </w:r>
      <w:r>
        <w:rPr>
          <w:rFonts w:hint="eastAsia"/>
          <w:bCs/>
          <w:sz w:val="24"/>
        </w:rPr>
        <w:t>》</w:t>
      </w:r>
      <w:r>
        <w:rPr>
          <w:bCs/>
          <w:sz w:val="24"/>
        </w:rPr>
        <w:t>终止事由之日起</w:t>
      </w:r>
      <w:r>
        <w:rPr>
          <w:bCs/>
          <w:sz w:val="24"/>
        </w:rPr>
        <w:t>30</w:t>
      </w:r>
      <w:r>
        <w:rPr>
          <w:bCs/>
          <w:sz w:val="24"/>
        </w:rPr>
        <w:t>个工作日内成立</w:t>
      </w:r>
      <w:r>
        <w:rPr>
          <w:rFonts w:hint="eastAsia"/>
          <w:bCs/>
          <w:sz w:val="24"/>
        </w:rPr>
        <w:t>基金</w:t>
      </w:r>
      <w:r>
        <w:rPr>
          <w:bCs/>
          <w:sz w:val="24"/>
        </w:rPr>
        <w:t>财产清算小组，基金管理人组织基金财产清算小组并在中国证监会的监督下进行基金清算。</w:t>
      </w:r>
    </w:p>
    <w:p w14:paraId="441F851A" w14:textId="77777777" w:rsidR="007C736D" w:rsidRDefault="00662CFB">
      <w:pPr>
        <w:spacing w:line="360" w:lineRule="auto"/>
        <w:ind w:firstLine="480"/>
        <w:rPr>
          <w:bCs/>
          <w:sz w:val="24"/>
        </w:rPr>
      </w:pPr>
      <w:r>
        <w:rPr>
          <w:bCs/>
          <w:sz w:val="24"/>
        </w:rPr>
        <w:t>2</w:t>
      </w:r>
      <w:r>
        <w:rPr>
          <w:bCs/>
          <w:sz w:val="24"/>
        </w:rPr>
        <w:t>、基金财产清算小组组成：基金财产清算小组成员由基金管理人、基金托管人、</w:t>
      </w:r>
      <w:r>
        <w:rPr>
          <w:rFonts w:hint="eastAsia"/>
          <w:bCs/>
          <w:sz w:val="24"/>
        </w:rPr>
        <w:t>符合《中华人民共和国证券法》规定</w:t>
      </w:r>
      <w:r>
        <w:rPr>
          <w:bCs/>
          <w:sz w:val="24"/>
        </w:rPr>
        <w:t>的注册会计师、律师以及中国证监会指定的人员组成。基金财产清算小组可以聘用必要的工作人员。</w:t>
      </w:r>
    </w:p>
    <w:p w14:paraId="1D2E96B5" w14:textId="77777777" w:rsidR="007C736D" w:rsidRDefault="00662CFB">
      <w:pPr>
        <w:spacing w:line="360" w:lineRule="auto"/>
        <w:ind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15F36656" w14:textId="77777777" w:rsidR="007C736D" w:rsidRDefault="00662CFB">
      <w:pPr>
        <w:spacing w:line="360" w:lineRule="auto"/>
        <w:ind w:firstLine="480"/>
        <w:rPr>
          <w:bCs/>
          <w:sz w:val="24"/>
        </w:rPr>
      </w:pPr>
      <w:r>
        <w:rPr>
          <w:bCs/>
          <w:sz w:val="24"/>
        </w:rPr>
        <w:t>4</w:t>
      </w:r>
      <w:r>
        <w:rPr>
          <w:bCs/>
          <w:sz w:val="24"/>
        </w:rPr>
        <w:t>、基金财产清算程序：</w:t>
      </w:r>
    </w:p>
    <w:p w14:paraId="55AA102B" w14:textId="77777777" w:rsidR="007C736D" w:rsidRDefault="00662CFB">
      <w:pPr>
        <w:spacing w:line="360" w:lineRule="auto"/>
        <w:ind w:firstLine="480"/>
        <w:rPr>
          <w:bCs/>
          <w:sz w:val="24"/>
        </w:rPr>
      </w:pPr>
      <w:r>
        <w:rPr>
          <w:bCs/>
          <w:sz w:val="24"/>
        </w:rPr>
        <w:t>（</w:t>
      </w:r>
      <w:r>
        <w:rPr>
          <w:bCs/>
          <w:sz w:val="24"/>
        </w:rPr>
        <w:t>1</w:t>
      </w:r>
      <w:r>
        <w:rPr>
          <w:bCs/>
          <w:sz w:val="24"/>
        </w:rPr>
        <w:t>）《基金合同》终止情形出现时，由基金财产清算小组统一接管基金；</w:t>
      </w:r>
    </w:p>
    <w:p w14:paraId="0738F9FE" w14:textId="77777777" w:rsidR="007C736D" w:rsidRDefault="00662CFB">
      <w:pPr>
        <w:spacing w:line="360" w:lineRule="auto"/>
        <w:ind w:firstLine="480"/>
        <w:rPr>
          <w:bCs/>
          <w:sz w:val="24"/>
        </w:rPr>
      </w:pPr>
      <w:r>
        <w:rPr>
          <w:bCs/>
          <w:sz w:val="24"/>
        </w:rPr>
        <w:t>（</w:t>
      </w:r>
      <w:r>
        <w:rPr>
          <w:bCs/>
          <w:sz w:val="24"/>
        </w:rPr>
        <w:t>2</w:t>
      </w:r>
      <w:r>
        <w:rPr>
          <w:bCs/>
          <w:sz w:val="24"/>
        </w:rPr>
        <w:t>）对基金</w:t>
      </w:r>
      <w:r>
        <w:rPr>
          <w:bCs/>
          <w:sz w:val="24"/>
        </w:rPr>
        <w:t>财产和债权债务进行清理和确认；</w:t>
      </w:r>
    </w:p>
    <w:p w14:paraId="52A48333" w14:textId="77777777" w:rsidR="007C736D" w:rsidRDefault="00662CFB">
      <w:pPr>
        <w:spacing w:line="360" w:lineRule="auto"/>
        <w:ind w:firstLine="480"/>
        <w:rPr>
          <w:bCs/>
          <w:sz w:val="24"/>
        </w:rPr>
      </w:pPr>
      <w:r>
        <w:rPr>
          <w:bCs/>
          <w:sz w:val="24"/>
        </w:rPr>
        <w:t>（</w:t>
      </w:r>
      <w:r>
        <w:rPr>
          <w:bCs/>
          <w:sz w:val="24"/>
        </w:rPr>
        <w:t>3</w:t>
      </w:r>
      <w:r>
        <w:rPr>
          <w:bCs/>
          <w:sz w:val="24"/>
        </w:rPr>
        <w:t>）对基金财产进行估值和变现；</w:t>
      </w:r>
    </w:p>
    <w:p w14:paraId="3421A525" w14:textId="77777777" w:rsidR="007C736D" w:rsidRDefault="00662CFB">
      <w:pPr>
        <w:spacing w:line="360" w:lineRule="auto"/>
        <w:ind w:firstLine="480"/>
        <w:rPr>
          <w:bCs/>
          <w:sz w:val="24"/>
        </w:rPr>
      </w:pPr>
      <w:r>
        <w:rPr>
          <w:bCs/>
          <w:sz w:val="24"/>
        </w:rPr>
        <w:lastRenderedPageBreak/>
        <w:t>（</w:t>
      </w:r>
      <w:r>
        <w:rPr>
          <w:bCs/>
          <w:sz w:val="24"/>
        </w:rPr>
        <w:t>4</w:t>
      </w:r>
      <w:r>
        <w:rPr>
          <w:bCs/>
          <w:sz w:val="24"/>
        </w:rPr>
        <w:t>）制作清算报告；</w:t>
      </w:r>
    </w:p>
    <w:p w14:paraId="7E27D743" w14:textId="77777777" w:rsidR="007C736D" w:rsidRDefault="00662CFB">
      <w:pPr>
        <w:spacing w:line="360" w:lineRule="auto"/>
        <w:ind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1A901977" w14:textId="77777777" w:rsidR="007C736D" w:rsidRDefault="00662CFB">
      <w:pPr>
        <w:spacing w:line="360" w:lineRule="auto"/>
        <w:ind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41F11B0E" w14:textId="77777777" w:rsidR="007C736D" w:rsidRDefault="00662CFB">
      <w:pPr>
        <w:spacing w:line="360" w:lineRule="auto"/>
        <w:ind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54BDBAC5" w14:textId="77777777" w:rsidR="007C736D" w:rsidRDefault="00662CFB">
      <w:pPr>
        <w:spacing w:line="360" w:lineRule="auto"/>
        <w:ind w:firstLine="480"/>
        <w:rPr>
          <w:bCs/>
          <w:sz w:val="24"/>
        </w:rPr>
      </w:pPr>
      <w:r>
        <w:rPr>
          <w:bCs/>
          <w:sz w:val="24"/>
        </w:rPr>
        <w:t>5</w:t>
      </w:r>
      <w:r>
        <w:rPr>
          <w:bCs/>
          <w:sz w:val="24"/>
        </w:rPr>
        <w:t>、基金财产清算的期限为</w:t>
      </w:r>
      <w:r>
        <w:rPr>
          <w:rFonts w:hint="eastAsia"/>
          <w:bCs/>
          <w:sz w:val="24"/>
        </w:rPr>
        <w:t>6</w:t>
      </w:r>
      <w:r>
        <w:rPr>
          <w:bCs/>
          <w:sz w:val="24"/>
        </w:rPr>
        <w:t>个月</w:t>
      </w:r>
      <w:r>
        <w:rPr>
          <w:rFonts w:hint="eastAsia"/>
          <w:bCs/>
          <w:sz w:val="24"/>
        </w:rPr>
        <w:t>，但因本基金所持证券的流动性受到限制而不能及时变现的，清算期限相应顺延。</w:t>
      </w:r>
    </w:p>
    <w:p w14:paraId="77D2FF44" w14:textId="77777777" w:rsidR="007C736D" w:rsidRDefault="00662CFB">
      <w:pPr>
        <w:spacing w:line="360" w:lineRule="auto"/>
        <w:ind w:firstLine="480"/>
        <w:rPr>
          <w:bCs/>
          <w:sz w:val="24"/>
        </w:rPr>
      </w:pPr>
      <w:r>
        <w:rPr>
          <w:bCs/>
          <w:sz w:val="24"/>
        </w:rPr>
        <w:t>四、清算费用</w:t>
      </w:r>
    </w:p>
    <w:p w14:paraId="6C21B121" w14:textId="77777777" w:rsidR="007C736D" w:rsidRDefault="00662CFB">
      <w:pPr>
        <w:spacing w:line="360" w:lineRule="auto"/>
        <w:ind w:firstLine="480"/>
        <w:rPr>
          <w:bCs/>
          <w:sz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14:paraId="6FAB2700" w14:textId="77777777" w:rsidR="007C736D" w:rsidRDefault="00662CFB">
      <w:pPr>
        <w:spacing w:line="360" w:lineRule="auto"/>
        <w:ind w:firstLine="480"/>
        <w:rPr>
          <w:bCs/>
          <w:sz w:val="24"/>
        </w:rPr>
      </w:pPr>
      <w:r>
        <w:rPr>
          <w:bCs/>
          <w:sz w:val="24"/>
        </w:rPr>
        <w:t>五、基金财产清算剩余资产的分配</w:t>
      </w:r>
    </w:p>
    <w:p w14:paraId="747F8B1B" w14:textId="77777777" w:rsidR="007C736D" w:rsidRDefault="00662CFB">
      <w:pPr>
        <w:spacing w:line="360" w:lineRule="auto"/>
        <w:ind w:firstLine="480"/>
        <w:rPr>
          <w:bCs/>
          <w:sz w:val="24"/>
        </w:rPr>
      </w:pPr>
      <w:r>
        <w:rPr>
          <w:bCs/>
          <w:sz w:val="24"/>
        </w:rPr>
        <w:t>依据基金财产清算的分配方案，将基金财产清算后的全部剩余资产扣除基金财产清算费用、交纳所欠税款并清偿基金债务后，按基金份额持有人持有的</w:t>
      </w:r>
      <w:r>
        <w:rPr>
          <w:rFonts w:hint="eastAsia"/>
          <w:bCs/>
          <w:sz w:val="24"/>
        </w:rPr>
        <w:t>各类</w:t>
      </w:r>
      <w:r>
        <w:rPr>
          <w:bCs/>
          <w:sz w:val="24"/>
        </w:rPr>
        <w:t>基金份额比例进行分配。</w:t>
      </w:r>
    </w:p>
    <w:p w14:paraId="6238F172" w14:textId="77777777" w:rsidR="007C736D" w:rsidRDefault="00662CFB">
      <w:pPr>
        <w:spacing w:line="360" w:lineRule="auto"/>
        <w:ind w:firstLine="480"/>
        <w:rPr>
          <w:bCs/>
          <w:sz w:val="24"/>
        </w:rPr>
      </w:pPr>
      <w:r>
        <w:rPr>
          <w:bCs/>
          <w:sz w:val="24"/>
        </w:rPr>
        <w:t>六、基金财产清算的公告</w:t>
      </w:r>
    </w:p>
    <w:p w14:paraId="0204D275" w14:textId="77777777" w:rsidR="007C736D" w:rsidRDefault="00662CFB">
      <w:pPr>
        <w:spacing w:line="360" w:lineRule="auto"/>
        <w:ind w:firstLine="480"/>
        <w:rPr>
          <w:bCs/>
          <w:sz w:val="24"/>
        </w:rPr>
      </w:pPr>
      <w:r>
        <w:rPr>
          <w:bCs/>
          <w:sz w:val="24"/>
        </w:rPr>
        <w:t>清算过程中的有关重大事项须及时公告；基金财产清算报告经</w:t>
      </w:r>
      <w:r>
        <w:rPr>
          <w:rFonts w:hint="eastAsia"/>
          <w:bCs/>
          <w:sz w:val="24"/>
        </w:rPr>
        <w:t>符合《中华人民共和国证券法》规定的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，基金财产清算小组应当将清算报告登载在规定网站上</w:t>
      </w:r>
      <w:r>
        <w:rPr>
          <w:rFonts w:hint="eastAsia"/>
          <w:bCs/>
          <w:sz w:val="24"/>
        </w:rPr>
        <w:t>，并将清算报告提示性公告登载在规定报刊上</w:t>
      </w:r>
      <w:r>
        <w:rPr>
          <w:bCs/>
          <w:sz w:val="24"/>
        </w:rPr>
        <w:t>。</w:t>
      </w:r>
    </w:p>
    <w:p w14:paraId="27E0430A" w14:textId="77777777" w:rsidR="007C736D" w:rsidRDefault="00662CFB">
      <w:pPr>
        <w:spacing w:line="360" w:lineRule="auto"/>
        <w:ind w:firstLine="480"/>
        <w:rPr>
          <w:bCs/>
          <w:sz w:val="24"/>
        </w:rPr>
      </w:pPr>
      <w:r>
        <w:rPr>
          <w:bCs/>
          <w:sz w:val="24"/>
        </w:rPr>
        <w:t>七、基金财产清算账册及文件的保存</w:t>
      </w:r>
    </w:p>
    <w:p w14:paraId="7C19A7C9" w14:textId="77777777" w:rsidR="007C736D" w:rsidRDefault="00662CFB">
      <w:pPr>
        <w:spacing w:line="360" w:lineRule="auto"/>
        <w:ind w:firstLine="480"/>
        <w:rPr>
          <w:bCs/>
          <w:sz w:val="24"/>
        </w:rPr>
      </w:pPr>
      <w:r>
        <w:rPr>
          <w:bCs/>
          <w:sz w:val="24"/>
        </w:rPr>
        <w:t>基金财产清算账册及有关文件由基金托管人保存</w:t>
      </w:r>
      <w:r>
        <w:rPr>
          <w:rFonts w:hint="eastAsia"/>
          <w:bCs/>
          <w:sz w:val="24"/>
        </w:rPr>
        <w:t>，保存期限不低于法律法规规定的最低期限</w:t>
      </w:r>
      <w:r>
        <w:rPr>
          <w:bCs/>
          <w:sz w:val="24"/>
        </w:rPr>
        <w:t>。</w:t>
      </w:r>
    </w:p>
    <w:p w14:paraId="6B150929" w14:textId="77777777" w:rsidR="007C736D" w:rsidRDefault="00662CFB">
      <w:pPr>
        <w:pStyle w:val="1110"/>
        <w:spacing w:before="0" w:after="0"/>
        <w:jc w:val="center"/>
        <w:rPr>
          <w:rFonts w:ascii="Times New Roman"/>
          <w:b w:val="0"/>
          <w:color w:val="auto"/>
          <w:sz w:val="30"/>
        </w:rPr>
      </w:pPr>
      <w:bookmarkStart w:id="438" w:name="_Toc48649720"/>
      <w:bookmarkStart w:id="439" w:name="_Toc123051466"/>
      <w:bookmarkStart w:id="440" w:name="_Toc79392641"/>
      <w:bookmarkStart w:id="441" w:name="_Toc123112248"/>
      <w:bookmarkStart w:id="442" w:name="_Toc123102467"/>
      <w:bookmarkStart w:id="443" w:name="_Toc98560365"/>
      <w:r>
        <w:rPr>
          <w:rFonts w:ascii="Times New Roman"/>
          <w:b w:val="0"/>
          <w:color w:val="auto"/>
        </w:rPr>
        <w:br w:type="page"/>
      </w:r>
      <w:bookmarkStart w:id="444" w:name="_Toc21240"/>
      <w:bookmarkStart w:id="445" w:name="_Toc8710"/>
      <w:bookmarkStart w:id="446" w:name="_Toc25072229"/>
      <w:bookmarkStart w:id="447" w:name="_Toc12191"/>
      <w:bookmarkStart w:id="448" w:name="_Toc28549"/>
      <w:bookmarkStart w:id="449" w:name="_Toc27058"/>
      <w:bookmarkStart w:id="450" w:name="_Toc136360689"/>
      <w:bookmarkStart w:id="451" w:name="_Toc30645"/>
      <w:bookmarkStart w:id="452" w:name="_Toc7367"/>
      <w:bookmarkStart w:id="453" w:name="_Toc139991750"/>
      <w:bookmarkStart w:id="454" w:name="_Toc23022"/>
      <w:bookmarkStart w:id="455" w:name="_Toc13398"/>
      <w:bookmarkStart w:id="456" w:name="_Toc141703901"/>
      <w:bookmarkStart w:id="457" w:name="_Toc9708"/>
      <w:r>
        <w:rPr>
          <w:rFonts w:ascii="Times New Roman" w:hint="eastAsia"/>
          <w:b w:val="0"/>
          <w:color w:val="auto"/>
          <w:sz w:val="30"/>
        </w:rPr>
        <w:lastRenderedPageBreak/>
        <w:t>第二十部分</w:t>
      </w:r>
      <w:r>
        <w:rPr>
          <w:rFonts w:ascii="Times New Roman" w:hint="eastAsia"/>
          <w:b w:val="0"/>
          <w:color w:val="auto"/>
          <w:sz w:val="30"/>
        </w:rPr>
        <w:t xml:space="preserve"> </w:t>
      </w:r>
      <w:r>
        <w:rPr>
          <w:rFonts w:ascii="Times New Roman"/>
          <w:b w:val="0"/>
          <w:color w:val="auto"/>
          <w:sz w:val="30"/>
        </w:rPr>
        <w:t xml:space="preserve"> </w:t>
      </w:r>
      <w:r>
        <w:rPr>
          <w:rFonts w:ascii="Times New Roman" w:hint="eastAsia"/>
          <w:b w:val="0"/>
          <w:color w:val="auto"/>
          <w:sz w:val="30"/>
        </w:rPr>
        <w:t>违约责任</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2A5341FF" w14:textId="77777777" w:rsidR="007C736D" w:rsidRDefault="007C736D">
      <w:pPr>
        <w:spacing w:line="360" w:lineRule="auto"/>
        <w:ind w:firstLine="480"/>
        <w:rPr>
          <w:bCs/>
          <w:sz w:val="24"/>
        </w:rPr>
      </w:pPr>
    </w:p>
    <w:p w14:paraId="388FFECC" w14:textId="77777777" w:rsidR="007C736D" w:rsidRDefault="00662CFB">
      <w:pPr>
        <w:spacing w:line="360" w:lineRule="auto"/>
        <w:ind w:firstLine="480"/>
        <w:rPr>
          <w:bCs/>
          <w:sz w:val="24"/>
        </w:rPr>
      </w:pPr>
      <w:r>
        <w:rPr>
          <w:bCs/>
          <w:sz w:val="24"/>
        </w:rPr>
        <w:t>一、基金管理人、基金托管人在履行各自职责的过程中，违反《基金法》</w:t>
      </w:r>
      <w:bookmarkStart w:id="458" w:name="_Hlk136263074"/>
      <w:r>
        <w:rPr>
          <w:bCs/>
          <w:sz w:val="24"/>
        </w:rPr>
        <w:t>等法律法规的规定</w:t>
      </w:r>
      <w:bookmarkEnd w:id="458"/>
      <w:r>
        <w:rPr>
          <w:bCs/>
          <w:sz w:val="24"/>
        </w:rPr>
        <w:t>或者</w:t>
      </w:r>
      <w:r>
        <w:rPr>
          <w:rFonts w:hint="eastAsia"/>
          <w:bCs/>
          <w:sz w:val="24"/>
        </w:rPr>
        <w:t>《</w:t>
      </w:r>
      <w:r>
        <w:rPr>
          <w:bCs/>
          <w:sz w:val="24"/>
        </w:rPr>
        <w:t>基金合同</w:t>
      </w:r>
      <w:r>
        <w:rPr>
          <w:rFonts w:hint="eastAsia"/>
          <w:bCs/>
          <w:sz w:val="24"/>
        </w:rPr>
        <w:t>》</w:t>
      </w:r>
      <w:r>
        <w:rPr>
          <w:bCs/>
          <w:sz w:val="24"/>
        </w:rPr>
        <w:t>约定，给基金财产或者基金份额持有人造成损害的，应当分别对各自的行为依法承担赔偿责任；因共同行为给基金财产或者基金份额持有人造成损害的，应当承担连带赔偿责任</w:t>
      </w:r>
      <w:bookmarkStart w:id="459" w:name="_Hlk136263122"/>
      <w:r>
        <w:rPr>
          <w:bCs/>
          <w:sz w:val="24"/>
        </w:rPr>
        <w:t>，对损失的赔偿，仅限于直接损失</w:t>
      </w:r>
      <w:bookmarkEnd w:id="459"/>
      <w:r>
        <w:rPr>
          <w:bCs/>
          <w:sz w:val="24"/>
        </w:rPr>
        <w:t>。</w:t>
      </w:r>
      <w:r>
        <w:rPr>
          <w:rFonts w:hint="eastAsia"/>
          <w:bCs/>
          <w:sz w:val="24"/>
        </w:rPr>
        <w:t>但是发生下列情况的，当事人免责：</w:t>
      </w:r>
    </w:p>
    <w:p w14:paraId="125DF532" w14:textId="77777777" w:rsidR="007C736D" w:rsidRDefault="00662CFB">
      <w:pPr>
        <w:spacing w:line="360" w:lineRule="auto"/>
        <w:ind w:firstLine="480"/>
        <w:rPr>
          <w:bCs/>
          <w:sz w:val="24"/>
        </w:rPr>
      </w:pPr>
      <w:r>
        <w:rPr>
          <w:bCs/>
          <w:sz w:val="24"/>
        </w:rPr>
        <w:t>1</w:t>
      </w:r>
      <w:r>
        <w:rPr>
          <w:rFonts w:hint="eastAsia"/>
          <w:bCs/>
          <w:sz w:val="24"/>
        </w:rPr>
        <w:t>、</w:t>
      </w:r>
      <w:r>
        <w:rPr>
          <w:bCs/>
          <w:sz w:val="24"/>
        </w:rPr>
        <w:t>不可抗力；</w:t>
      </w:r>
    </w:p>
    <w:p w14:paraId="5E632946" w14:textId="77777777" w:rsidR="007C736D" w:rsidRDefault="00662CFB">
      <w:pPr>
        <w:spacing w:line="360" w:lineRule="auto"/>
        <w:ind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或基金托管人按照届时有效的法律法规或中国证监会的规定作为或不作为而造成的损失等；</w:t>
      </w:r>
    </w:p>
    <w:p w14:paraId="32AA280E" w14:textId="77777777" w:rsidR="007C736D" w:rsidRDefault="00662CFB">
      <w:pPr>
        <w:spacing w:line="360" w:lineRule="auto"/>
        <w:ind w:firstLine="480"/>
        <w:rPr>
          <w:bCs/>
          <w:sz w:val="24"/>
        </w:rPr>
      </w:pPr>
      <w:r>
        <w:rPr>
          <w:rFonts w:hint="eastAsia"/>
          <w:bCs/>
          <w:sz w:val="24"/>
        </w:rPr>
        <w:t>3</w:t>
      </w:r>
      <w:r>
        <w:rPr>
          <w:rFonts w:hint="eastAsia"/>
          <w:bCs/>
          <w:sz w:val="24"/>
        </w:rPr>
        <w:t>、在没有过错的情况下，基金管理人由于按照基金合同规定的投资原则行使或不行使其投资权而造成的损失等。</w:t>
      </w:r>
    </w:p>
    <w:p w14:paraId="204F21CB" w14:textId="77777777" w:rsidR="007C736D" w:rsidRDefault="00662CFB">
      <w:pPr>
        <w:spacing w:line="360" w:lineRule="auto"/>
        <w:ind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w:t>
      </w:r>
      <w:r>
        <w:rPr>
          <w:bCs/>
          <w:sz w:val="24"/>
        </w:rPr>
        <w:t>担。</w:t>
      </w:r>
    </w:p>
    <w:p w14:paraId="0C835D93" w14:textId="77777777" w:rsidR="007C736D" w:rsidRDefault="00662CFB">
      <w:pPr>
        <w:spacing w:line="360" w:lineRule="auto"/>
        <w:ind w:firstLine="480"/>
        <w:rPr>
          <w:bCs/>
          <w:sz w:val="24"/>
        </w:rPr>
      </w:pPr>
      <w:r>
        <w:rPr>
          <w:bCs/>
          <w:sz w:val="24"/>
        </w:rPr>
        <w:t>三、由于基金管理人、基金托管人不可控制的因素导致业务出现差错，基金管理人和基金托管人虽然已经采取必要、适当、合理的措施进行检查，但是未能发现错误</w:t>
      </w:r>
      <w:r>
        <w:rPr>
          <w:rFonts w:hint="eastAsia"/>
          <w:bCs/>
          <w:sz w:val="24"/>
        </w:rPr>
        <w:t>或虽发现错误但是因为前述原因无法更正</w:t>
      </w:r>
      <w:r>
        <w:rPr>
          <w:bCs/>
          <w:sz w:val="24"/>
        </w:rPr>
        <w:t>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14:paraId="60D15F25" w14:textId="77777777" w:rsidR="007C736D" w:rsidRDefault="00662CFB">
      <w:pPr>
        <w:pStyle w:val="1110"/>
        <w:spacing w:before="0" w:after="0"/>
        <w:jc w:val="center"/>
        <w:rPr>
          <w:rFonts w:ascii="Times New Roman"/>
          <w:b w:val="0"/>
          <w:color w:val="auto"/>
          <w:sz w:val="30"/>
        </w:rPr>
      </w:pPr>
      <w:r>
        <w:rPr>
          <w:rFonts w:ascii="Times New Roman"/>
          <w:b w:val="0"/>
          <w:color w:val="auto"/>
        </w:rPr>
        <w:br w:type="page"/>
      </w:r>
      <w:bookmarkStart w:id="460" w:name="_Toc25072230"/>
      <w:bookmarkStart w:id="461" w:name="_Toc123102468"/>
      <w:bookmarkStart w:id="462" w:name="_Toc3319"/>
      <w:bookmarkStart w:id="463" w:name="_Toc139991751"/>
      <w:bookmarkStart w:id="464" w:name="_Toc7288"/>
      <w:bookmarkStart w:id="465" w:name="_Toc123112249"/>
      <w:bookmarkStart w:id="466" w:name="_Toc98560366"/>
      <w:bookmarkStart w:id="467" w:name="_Toc1790"/>
      <w:bookmarkStart w:id="468" w:name="_Toc6202"/>
      <w:bookmarkStart w:id="469" w:name="_Toc136360690"/>
      <w:bookmarkStart w:id="470" w:name="_Toc24923"/>
      <w:bookmarkStart w:id="471" w:name="_Toc23999"/>
      <w:bookmarkStart w:id="472" w:name="_Toc21983"/>
      <w:bookmarkStart w:id="473" w:name="_Toc141703902"/>
      <w:bookmarkStart w:id="474" w:name="_Toc8636"/>
      <w:bookmarkStart w:id="475" w:name="_Toc30350"/>
      <w:bookmarkStart w:id="476" w:name="_Toc25651"/>
      <w:bookmarkStart w:id="477" w:name="_Toc123051467"/>
      <w:r>
        <w:rPr>
          <w:rFonts w:ascii="Times New Roman" w:hint="eastAsia"/>
          <w:b w:val="0"/>
          <w:color w:val="auto"/>
          <w:sz w:val="30"/>
        </w:rPr>
        <w:lastRenderedPageBreak/>
        <w:t>第二十一部分</w:t>
      </w:r>
      <w:r>
        <w:rPr>
          <w:rFonts w:ascii="Times New Roman" w:hint="eastAsia"/>
          <w:b w:val="0"/>
          <w:color w:val="auto"/>
          <w:sz w:val="30"/>
        </w:rPr>
        <w:t xml:space="preserve"> </w:t>
      </w:r>
      <w:r>
        <w:rPr>
          <w:rFonts w:ascii="Times New Roman"/>
          <w:b w:val="0"/>
          <w:color w:val="auto"/>
          <w:sz w:val="30"/>
        </w:rPr>
        <w:t xml:space="preserve"> </w:t>
      </w:r>
      <w:r>
        <w:rPr>
          <w:rFonts w:ascii="Times New Roman" w:hint="eastAsia"/>
          <w:b w:val="0"/>
          <w:color w:val="auto"/>
          <w:sz w:val="30"/>
        </w:rPr>
        <w:t>争议的处理和适用的法律</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1E8FCD6A" w14:textId="77777777" w:rsidR="007C736D" w:rsidRDefault="007C736D">
      <w:pPr>
        <w:spacing w:line="360" w:lineRule="auto"/>
        <w:ind w:firstLine="480"/>
        <w:rPr>
          <w:bCs/>
          <w:sz w:val="24"/>
        </w:rPr>
      </w:pPr>
    </w:p>
    <w:p w14:paraId="1185BA3C" w14:textId="77777777" w:rsidR="007C736D" w:rsidRDefault="00662CFB">
      <w:pPr>
        <w:spacing w:line="360" w:lineRule="auto"/>
        <w:ind w:firstLine="480"/>
        <w:rPr>
          <w:bCs/>
          <w:sz w:val="24"/>
        </w:rPr>
      </w:pPr>
      <w:r>
        <w:rPr>
          <w:rFonts w:hint="eastAsia"/>
          <w:bCs/>
          <w:sz w:val="24"/>
        </w:rPr>
        <w:t>各方当事人同意，因基金合同而产生的或与基金合同有关的一切争议，如经友好协商未能解决的，任何一方应当将争议提交中国国际经济贸易仲裁委员会，仲</w:t>
      </w:r>
      <w:r>
        <w:rPr>
          <w:rFonts w:hint="eastAsia"/>
          <w:bCs/>
          <w:sz w:val="24"/>
        </w:rPr>
        <w:t>裁地点为北京市，按照中国国际经济贸易仲裁委员会届时有效的仲裁规则进行仲裁。仲裁裁决是终局的，对当事人均有约束力。除非仲裁裁决另有规定，仲裁费由败诉方承担。</w:t>
      </w:r>
    </w:p>
    <w:p w14:paraId="000FE4EA" w14:textId="77777777" w:rsidR="007C736D" w:rsidRDefault="00662CFB">
      <w:pPr>
        <w:spacing w:line="360" w:lineRule="auto"/>
        <w:ind w:firstLine="480"/>
        <w:rPr>
          <w:bCs/>
          <w:sz w:val="24"/>
        </w:rPr>
      </w:pPr>
      <w:r>
        <w:rPr>
          <w:rFonts w:hint="eastAsia"/>
          <w:bCs/>
          <w:sz w:val="24"/>
        </w:rPr>
        <w:t>争议处理期间，基金管理人和基金托管人应恪守各自的职责，继续忠实、勤勉、尽责地履行基金合同和托管协议规定的义务，维护基金份额持有人的合法权益。</w:t>
      </w:r>
    </w:p>
    <w:p w14:paraId="06D9DAE1" w14:textId="77777777" w:rsidR="007C736D" w:rsidRDefault="00662CFB">
      <w:pPr>
        <w:spacing w:line="360" w:lineRule="auto"/>
        <w:ind w:firstLine="480"/>
        <w:rPr>
          <w:bCs/>
          <w:sz w:val="24"/>
        </w:rPr>
      </w:pPr>
      <w:r>
        <w:rPr>
          <w:rFonts w:hint="eastAsia"/>
          <w:bCs/>
          <w:sz w:val="24"/>
        </w:rPr>
        <w:t>基金合同受中国法律</w:t>
      </w:r>
      <w:bookmarkStart w:id="478" w:name="_Hlk45643388"/>
      <w:r>
        <w:rPr>
          <w:rFonts w:hint="eastAsia"/>
          <w:bCs/>
          <w:sz w:val="24"/>
        </w:rPr>
        <w:t>（为本基金合同之目的，在此不包括香港、澳门特别行政区和台湾地区法律）</w:t>
      </w:r>
      <w:bookmarkEnd w:id="478"/>
      <w:r>
        <w:rPr>
          <w:rFonts w:hint="eastAsia"/>
          <w:bCs/>
          <w:sz w:val="24"/>
        </w:rPr>
        <w:t>管辖并从其解释。</w:t>
      </w:r>
    </w:p>
    <w:p w14:paraId="014A5ED9" w14:textId="77777777" w:rsidR="007C736D" w:rsidRDefault="00662CFB">
      <w:pPr>
        <w:jc w:val="center"/>
        <w:rPr>
          <w:sz w:val="30"/>
        </w:rPr>
      </w:pPr>
      <w:bookmarkStart w:id="479" w:name="_Toc8454"/>
      <w:bookmarkStart w:id="480" w:name="_Toc139991752"/>
      <w:bookmarkStart w:id="481" w:name="_Toc484"/>
      <w:bookmarkStart w:id="482" w:name="_Toc123102469"/>
      <w:bookmarkStart w:id="483" w:name="_Toc123051468"/>
      <w:bookmarkStart w:id="484" w:name="_Toc31966"/>
      <w:bookmarkStart w:id="485" w:name="_Toc123112250"/>
      <w:bookmarkStart w:id="486" w:name="_Toc11618"/>
      <w:bookmarkStart w:id="487" w:name="_Toc25072231"/>
      <w:bookmarkStart w:id="488" w:name="_Toc23991"/>
      <w:bookmarkStart w:id="489" w:name="_Toc8703"/>
      <w:bookmarkStart w:id="490" w:name="_Toc141703903"/>
      <w:bookmarkStart w:id="491" w:name="_Toc29505"/>
      <w:bookmarkStart w:id="492" w:name="_Toc136360691"/>
      <w:bookmarkStart w:id="493" w:name="_Toc26461"/>
      <w:bookmarkStart w:id="494" w:name="_Toc2532"/>
      <w:bookmarkStart w:id="495" w:name="_Toc20350"/>
      <w:r>
        <w:rPr>
          <w:rFonts w:hint="eastAsia"/>
          <w:sz w:val="30"/>
        </w:rPr>
        <w:br w:type="page"/>
      </w:r>
    </w:p>
    <w:p w14:paraId="7D75CEAA" w14:textId="77777777" w:rsidR="007C736D" w:rsidRDefault="00662CFB">
      <w:pPr>
        <w:pStyle w:val="1110"/>
        <w:spacing w:before="0" w:after="0"/>
        <w:jc w:val="center"/>
        <w:rPr>
          <w:rFonts w:ascii="Times New Roman"/>
          <w:b w:val="0"/>
          <w:color w:val="auto"/>
          <w:sz w:val="30"/>
        </w:rPr>
      </w:pPr>
      <w:r>
        <w:rPr>
          <w:rFonts w:ascii="Times New Roman" w:hint="eastAsia"/>
          <w:b w:val="0"/>
          <w:color w:val="auto"/>
          <w:sz w:val="30"/>
        </w:rPr>
        <w:lastRenderedPageBreak/>
        <w:t>第二十二部分</w:t>
      </w:r>
      <w:r>
        <w:rPr>
          <w:rFonts w:ascii="Times New Roman"/>
          <w:b w:val="0"/>
          <w:color w:val="auto"/>
          <w:sz w:val="30"/>
        </w:rPr>
        <w:t xml:space="preserve"> </w:t>
      </w:r>
      <w:r>
        <w:rPr>
          <w:rFonts w:ascii="Times New Roman" w:hint="eastAsia"/>
          <w:b w:val="0"/>
          <w:color w:val="auto"/>
          <w:sz w:val="30"/>
        </w:rPr>
        <w:t xml:space="preserve"> </w:t>
      </w:r>
      <w:r>
        <w:rPr>
          <w:rFonts w:ascii="Times New Roman" w:hint="eastAsia"/>
          <w:b w:val="0"/>
          <w:color w:val="auto"/>
          <w:sz w:val="30"/>
        </w:rPr>
        <w:t>基金合同的效力</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14:paraId="12CA42A6" w14:textId="77777777" w:rsidR="007C736D" w:rsidRDefault="007C736D">
      <w:pPr>
        <w:spacing w:line="360" w:lineRule="auto"/>
        <w:ind w:firstLine="480"/>
        <w:rPr>
          <w:bCs/>
          <w:sz w:val="24"/>
        </w:rPr>
      </w:pPr>
    </w:p>
    <w:p w14:paraId="5D80B7BD" w14:textId="77777777" w:rsidR="007C736D" w:rsidRDefault="00662CFB">
      <w:pPr>
        <w:spacing w:line="360" w:lineRule="auto"/>
        <w:ind w:firstLine="480"/>
        <w:rPr>
          <w:bCs/>
          <w:sz w:val="24"/>
        </w:rPr>
      </w:pPr>
      <w:r>
        <w:rPr>
          <w:bCs/>
          <w:sz w:val="24"/>
        </w:rPr>
        <w:t>《基金合同》是约定基金</w:t>
      </w:r>
      <w:r>
        <w:rPr>
          <w:rFonts w:hint="eastAsia"/>
          <w:bCs/>
          <w:sz w:val="24"/>
        </w:rPr>
        <w:t>合同</w:t>
      </w:r>
      <w:r>
        <w:rPr>
          <w:bCs/>
          <w:sz w:val="24"/>
        </w:rPr>
        <w:t>当事人之间权利义务关系的法律文件。</w:t>
      </w:r>
    </w:p>
    <w:p w14:paraId="1842320B" w14:textId="77777777" w:rsidR="007C736D" w:rsidRDefault="00662CFB">
      <w:pPr>
        <w:spacing w:line="360" w:lineRule="auto"/>
        <w:ind w:firstLine="480"/>
        <w:rPr>
          <w:bCs/>
          <w:sz w:val="24"/>
        </w:rPr>
      </w:pPr>
      <w:r>
        <w:rPr>
          <w:bCs/>
          <w:sz w:val="24"/>
        </w:rPr>
        <w:t>1</w:t>
      </w:r>
      <w:r>
        <w:rPr>
          <w:bCs/>
          <w:sz w:val="24"/>
        </w:rPr>
        <w:t>、《基金合同》经基金管理人、基金托管人双方</w:t>
      </w:r>
      <w:r>
        <w:rPr>
          <w:rFonts w:hint="eastAsia"/>
          <w:bCs/>
          <w:sz w:val="24"/>
        </w:rPr>
        <w:t>加</w:t>
      </w:r>
      <w:r>
        <w:rPr>
          <w:bCs/>
          <w:sz w:val="24"/>
        </w:rPr>
        <w:t>盖</w:t>
      </w:r>
      <w:r>
        <w:rPr>
          <w:rFonts w:hint="eastAsia"/>
          <w:bCs/>
          <w:sz w:val="24"/>
        </w:rPr>
        <w:t>公</w:t>
      </w:r>
      <w:r>
        <w:rPr>
          <w:bCs/>
          <w:sz w:val="24"/>
        </w:rPr>
        <w:t>章</w:t>
      </w:r>
      <w:r>
        <w:rPr>
          <w:rFonts w:hint="eastAsia"/>
          <w:bCs/>
          <w:sz w:val="24"/>
        </w:rPr>
        <w:t>或合同专用章</w:t>
      </w:r>
      <w:r>
        <w:rPr>
          <w:bCs/>
          <w:sz w:val="24"/>
        </w:rPr>
        <w:t>以及双方法定代表人或授权</w:t>
      </w:r>
      <w:r>
        <w:rPr>
          <w:rFonts w:hint="eastAsia"/>
          <w:bCs/>
          <w:sz w:val="24"/>
        </w:rPr>
        <w:t>代表签字或盖章</w:t>
      </w:r>
      <w:r>
        <w:rPr>
          <w:bCs/>
          <w:sz w:val="24"/>
        </w:rPr>
        <w:t>并在募集结束后经基金管理人向中国证监会办理基金备案手续，并经中国证监会书面确认后生效。</w:t>
      </w:r>
    </w:p>
    <w:p w14:paraId="0728FEF0" w14:textId="77777777" w:rsidR="007C736D" w:rsidRDefault="00662CFB">
      <w:pPr>
        <w:spacing w:line="360" w:lineRule="auto"/>
        <w:ind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1C193D4E" w14:textId="77777777" w:rsidR="007C736D" w:rsidRDefault="00662CFB">
      <w:pPr>
        <w:spacing w:line="360" w:lineRule="auto"/>
        <w:ind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33862FE2" w14:textId="77777777" w:rsidR="007C736D" w:rsidRDefault="00662CFB">
      <w:pPr>
        <w:spacing w:line="360" w:lineRule="auto"/>
        <w:ind w:firstLine="480"/>
        <w:rPr>
          <w:bCs/>
          <w:sz w:val="24"/>
        </w:rPr>
      </w:pPr>
      <w:r>
        <w:rPr>
          <w:bCs/>
          <w:sz w:val="24"/>
        </w:rPr>
        <w:t>4</w:t>
      </w:r>
      <w:r>
        <w:rPr>
          <w:bCs/>
          <w:sz w:val="24"/>
        </w:rPr>
        <w:t>、《基金合同》正本一式</w:t>
      </w:r>
      <w:r>
        <w:rPr>
          <w:rFonts w:hint="eastAsia"/>
          <w:bCs/>
          <w:sz w:val="24"/>
        </w:rPr>
        <w:t>3</w:t>
      </w:r>
      <w:r>
        <w:rPr>
          <w:bCs/>
          <w:sz w:val="24"/>
        </w:rPr>
        <w:t>份，除上报有关监管机构</w:t>
      </w:r>
      <w:r>
        <w:rPr>
          <w:rFonts w:hint="eastAsia"/>
          <w:bCs/>
          <w:sz w:val="24"/>
        </w:rPr>
        <w:t>1</w:t>
      </w:r>
      <w:r>
        <w:rPr>
          <w:bCs/>
          <w:sz w:val="24"/>
        </w:rPr>
        <w:t>份外，基金管理人、基金托管人各持有</w:t>
      </w:r>
      <w:r>
        <w:rPr>
          <w:rFonts w:hint="eastAsia"/>
          <w:bCs/>
          <w:sz w:val="24"/>
        </w:rPr>
        <w:t>1</w:t>
      </w:r>
      <w:r>
        <w:rPr>
          <w:bCs/>
          <w:sz w:val="24"/>
        </w:rPr>
        <w:t>份，每份具有同等的法律效</w:t>
      </w:r>
      <w:r>
        <w:rPr>
          <w:bCs/>
          <w:sz w:val="24"/>
        </w:rPr>
        <w:t>力。</w:t>
      </w:r>
    </w:p>
    <w:p w14:paraId="76E5F90E" w14:textId="77777777" w:rsidR="007C736D" w:rsidRDefault="00662CFB">
      <w:pPr>
        <w:spacing w:line="360" w:lineRule="auto"/>
        <w:ind w:firstLine="480"/>
        <w:rPr>
          <w:bCs/>
          <w:sz w:val="24"/>
        </w:rPr>
      </w:pPr>
      <w:r>
        <w:rPr>
          <w:bCs/>
          <w:sz w:val="24"/>
        </w:rPr>
        <w:t>5</w:t>
      </w:r>
      <w:r>
        <w:rPr>
          <w:bCs/>
          <w:sz w:val="24"/>
        </w:rPr>
        <w:t>、《基金合同》可印制成册，供投资者在基金管理人、基金托管人、销售机构的办公场所和营业场所查阅。</w:t>
      </w:r>
    </w:p>
    <w:p w14:paraId="6EAA669A" w14:textId="77777777" w:rsidR="007C736D" w:rsidRDefault="00662CFB">
      <w:pPr>
        <w:pStyle w:val="1110"/>
        <w:spacing w:before="0" w:after="0"/>
        <w:jc w:val="center"/>
        <w:rPr>
          <w:rFonts w:ascii="Times New Roman"/>
          <w:b w:val="0"/>
          <w:color w:val="auto"/>
          <w:sz w:val="30"/>
        </w:rPr>
      </w:pPr>
      <w:r>
        <w:rPr>
          <w:rFonts w:ascii="Times New Roman"/>
          <w:b w:val="0"/>
          <w:color w:val="auto"/>
        </w:rPr>
        <w:br w:type="page"/>
      </w:r>
      <w:bookmarkStart w:id="496" w:name="_Toc21726"/>
      <w:bookmarkStart w:id="497" w:name="_Toc25072232"/>
      <w:bookmarkStart w:id="498" w:name="_Toc136360692"/>
      <w:r>
        <w:rPr>
          <w:rFonts w:ascii="Times New Roman" w:hint="eastAsia"/>
          <w:b w:val="0"/>
          <w:color w:val="auto"/>
          <w:sz w:val="30"/>
        </w:rPr>
        <w:lastRenderedPageBreak/>
        <w:t>第二十三部分</w:t>
      </w:r>
      <w:r>
        <w:rPr>
          <w:rFonts w:ascii="Times New Roman"/>
          <w:b w:val="0"/>
          <w:color w:val="auto"/>
          <w:sz w:val="30"/>
        </w:rPr>
        <w:t xml:space="preserve"> </w:t>
      </w:r>
      <w:r>
        <w:rPr>
          <w:rFonts w:ascii="Times New Roman" w:hint="eastAsia"/>
          <w:b w:val="0"/>
          <w:color w:val="auto"/>
          <w:sz w:val="30"/>
        </w:rPr>
        <w:t xml:space="preserve"> </w:t>
      </w:r>
      <w:r>
        <w:rPr>
          <w:rFonts w:ascii="Times New Roman" w:hint="eastAsia"/>
          <w:b w:val="0"/>
          <w:color w:val="auto"/>
          <w:sz w:val="30"/>
        </w:rPr>
        <w:t>其他事项</w:t>
      </w:r>
      <w:bookmarkEnd w:id="496"/>
      <w:bookmarkEnd w:id="497"/>
      <w:bookmarkEnd w:id="498"/>
    </w:p>
    <w:p w14:paraId="4D427645" w14:textId="77777777" w:rsidR="007C736D" w:rsidRDefault="007C736D">
      <w:pPr>
        <w:spacing w:line="360" w:lineRule="auto"/>
        <w:ind w:firstLine="480"/>
        <w:rPr>
          <w:rFonts w:ascii="宋体" w:hAnsi="宋体"/>
          <w:sz w:val="24"/>
        </w:rPr>
      </w:pPr>
    </w:p>
    <w:p w14:paraId="32E7157B" w14:textId="77777777" w:rsidR="007C736D" w:rsidRDefault="00662CFB">
      <w:pPr>
        <w:spacing w:line="360" w:lineRule="auto"/>
        <w:ind w:firstLine="480"/>
        <w:rPr>
          <w:rFonts w:ascii="宋体" w:hAnsi="宋体"/>
          <w:sz w:val="24"/>
        </w:rPr>
      </w:pPr>
      <w:r>
        <w:rPr>
          <w:rFonts w:ascii="宋体" w:hAnsi="宋体" w:hint="eastAsia"/>
          <w:sz w:val="24"/>
        </w:rPr>
        <w:t>《基金合同》如有未尽事宜，由《基金合同》当事人各方按有关法律法规协商解决。</w:t>
      </w:r>
      <w:bookmarkEnd w:id="78"/>
      <w:bookmarkEnd w:id="79"/>
    </w:p>
    <w:p w14:paraId="698742D3" w14:textId="77777777" w:rsidR="007C736D" w:rsidRDefault="00662CFB">
      <w:pPr>
        <w:widowControl/>
        <w:jc w:val="left"/>
        <w:rPr>
          <w:rFonts w:ascii="宋体" w:hAnsi="宋体"/>
          <w:sz w:val="24"/>
        </w:rPr>
      </w:pPr>
      <w:r>
        <w:rPr>
          <w:rFonts w:ascii="宋体" w:hAnsi="宋体"/>
          <w:sz w:val="24"/>
        </w:rPr>
        <w:br w:type="page"/>
      </w:r>
    </w:p>
    <w:p w14:paraId="7AE46FC2" w14:textId="77777777" w:rsidR="007C736D" w:rsidRDefault="00662CFB">
      <w:pPr>
        <w:pStyle w:val="1110"/>
        <w:spacing w:before="0" w:after="0"/>
        <w:jc w:val="center"/>
        <w:rPr>
          <w:rFonts w:ascii="Times New Roman"/>
          <w:b w:val="0"/>
          <w:color w:val="auto"/>
          <w:sz w:val="30"/>
        </w:rPr>
      </w:pPr>
      <w:bookmarkStart w:id="499" w:name="_Toc454969321"/>
      <w:bookmarkStart w:id="500" w:name="_Toc10466052"/>
      <w:bookmarkStart w:id="501" w:name="_Toc25072233"/>
      <w:bookmarkStart w:id="502" w:name="_Toc136360693"/>
      <w:r>
        <w:rPr>
          <w:rFonts w:ascii="Times New Roman" w:hint="eastAsia"/>
          <w:b w:val="0"/>
          <w:color w:val="auto"/>
          <w:sz w:val="30"/>
        </w:rPr>
        <w:lastRenderedPageBreak/>
        <w:t>第二十四部分</w:t>
      </w:r>
      <w:r>
        <w:rPr>
          <w:rFonts w:ascii="Times New Roman" w:hint="eastAsia"/>
          <w:b w:val="0"/>
          <w:color w:val="auto"/>
          <w:sz w:val="30"/>
        </w:rPr>
        <w:t xml:space="preserve"> </w:t>
      </w:r>
      <w:r>
        <w:rPr>
          <w:rFonts w:ascii="Times New Roman"/>
          <w:b w:val="0"/>
          <w:color w:val="auto"/>
          <w:sz w:val="30"/>
        </w:rPr>
        <w:t xml:space="preserve"> </w:t>
      </w:r>
      <w:r>
        <w:rPr>
          <w:rFonts w:ascii="Times New Roman" w:hint="eastAsia"/>
          <w:b w:val="0"/>
          <w:color w:val="auto"/>
          <w:sz w:val="30"/>
        </w:rPr>
        <w:t>基金合同内容摘要</w:t>
      </w:r>
      <w:bookmarkEnd w:id="499"/>
      <w:bookmarkEnd w:id="500"/>
      <w:bookmarkEnd w:id="501"/>
      <w:bookmarkEnd w:id="502"/>
    </w:p>
    <w:p w14:paraId="24DC7840" w14:textId="77777777" w:rsidR="007C736D" w:rsidRDefault="007C736D">
      <w:pPr>
        <w:spacing w:line="360" w:lineRule="auto"/>
        <w:ind w:firstLine="480"/>
        <w:rPr>
          <w:rFonts w:ascii="宋体" w:hAnsi="宋体"/>
          <w:sz w:val="24"/>
        </w:rPr>
      </w:pPr>
    </w:p>
    <w:p w14:paraId="169C1A04" w14:textId="77777777" w:rsidR="007C736D" w:rsidRDefault="00662CFB">
      <w:pPr>
        <w:spacing w:line="360" w:lineRule="auto"/>
        <w:ind w:firstLine="480"/>
        <w:rPr>
          <w:rFonts w:ascii="宋体" w:eastAsia="宋体" w:hAnsi="宋体"/>
          <w:sz w:val="24"/>
          <w:lang w:bidi="en-US"/>
        </w:rPr>
      </w:pPr>
      <w:r>
        <w:rPr>
          <w:rFonts w:ascii="宋体" w:hAnsi="宋体" w:hint="eastAsia"/>
          <w:sz w:val="24"/>
        </w:rPr>
        <w:t>一、基金份额持有人、基金管理人和基金托管人的权利、义务</w:t>
      </w:r>
    </w:p>
    <w:p w14:paraId="036C81EC" w14:textId="77777777" w:rsidR="007C736D" w:rsidRDefault="00662CFB">
      <w:pPr>
        <w:spacing w:line="360" w:lineRule="auto"/>
        <w:ind w:firstLine="480"/>
        <w:rPr>
          <w:rFonts w:ascii="宋体" w:eastAsia="宋体" w:hAnsi="宋体"/>
          <w:sz w:val="24"/>
          <w:lang w:bidi="en-US"/>
        </w:rPr>
      </w:pPr>
      <w:r>
        <w:rPr>
          <w:rFonts w:ascii="宋体" w:hAnsi="宋体" w:hint="eastAsia"/>
          <w:sz w:val="24"/>
        </w:rPr>
        <w:t>（一）基金管理人的权利与义务</w:t>
      </w:r>
    </w:p>
    <w:p w14:paraId="2AA4734E" w14:textId="77777777" w:rsidR="007C736D" w:rsidRDefault="00662CFB">
      <w:pPr>
        <w:spacing w:line="360" w:lineRule="auto"/>
        <w:ind w:firstLine="480"/>
        <w:rPr>
          <w:bCs/>
          <w:sz w:val="24"/>
        </w:rPr>
      </w:pPr>
      <w:r>
        <w:rPr>
          <w:bCs/>
          <w:sz w:val="24"/>
        </w:rPr>
        <w:t>1</w:t>
      </w:r>
      <w:r>
        <w:rPr>
          <w:bCs/>
          <w:sz w:val="24"/>
        </w:rPr>
        <w:t>、根据《基金法》、《运作办法》及其他有关规定，基金管理人的权利包括但不限于：</w:t>
      </w:r>
    </w:p>
    <w:p w14:paraId="62224ED9" w14:textId="77777777" w:rsidR="007C736D" w:rsidRDefault="00662CFB">
      <w:pPr>
        <w:spacing w:line="360" w:lineRule="auto"/>
        <w:ind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189F296C" w14:textId="77777777" w:rsidR="007C736D" w:rsidRDefault="00662CFB">
      <w:pPr>
        <w:spacing w:line="360" w:lineRule="auto"/>
        <w:ind w:firstLine="480"/>
        <w:rPr>
          <w:bCs/>
          <w:sz w:val="24"/>
        </w:rPr>
      </w:pPr>
      <w:r>
        <w:rPr>
          <w:bCs/>
          <w:sz w:val="24"/>
        </w:rPr>
        <w:t>（</w:t>
      </w:r>
      <w:r>
        <w:rPr>
          <w:bCs/>
          <w:sz w:val="24"/>
        </w:rPr>
        <w:t>2</w:t>
      </w:r>
      <w:r>
        <w:rPr>
          <w:bCs/>
          <w:sz w:val="24"/>
        </w:rPr>
        <w:t>）自《基金合同》生效之日起，根据法律法规和《基金合同》独立运用并管理基金财产；</w:t>
      </w:r>
    </w:p>
    <w:p w14:paraId="398EBF47" w14:textId="77777777" w:rsidR="007C736D" w:rsidRDefault="00662CFB">
      <w:pPr>
        <w:spacing w:line="360" w:lineRule="auto"/>
        <w:ind w:firstLine="480"/>
        <w:rPr>
          <w:bCs/>
          <w:sz w:val="24"/>
        </w:rPr>
      </w:pPr>
      <w:r>
        <w:rPr>
          <w:bCs/>
          <w:sz w:val="24"/>
        </w:rPr>
        <w:t>（</w:t>
      </w:r>
      <w:r>
        <w:rPr>
          <w:bCs/>
          <w:sz w:val="24"/>
        </w:rPr>
        <w:t>3</w:t>
      </w:r>
      <w:r>
        <w:rPr>
          <w:bCs/>
          <w:sz w:val="24"/>
        </w:rPr>
        <w:t>）依照《基金合同》收取基金管理费以及法律法规规定或中国证监会批准的其他费用；</w:t>
      </w:r>
    </w:p>
    <w:p w14:paraId="29C0ACE5" w14:textId="77777777" w:rsidR="007C736D" w:rsidRDefault="00662CFB">
      <w:pPr>
        <w:spacing w:line="360" w:lineRule="auto"/>
        <w:ind w:firstLine="480"/>
        <w:rPr>
          <w:bCs/>
          <w:sz w:val="24"/>
        </w:rPr>
      </w:pPr>
      <w:r>
        <w:rPr>
          <w:bCs/>
          <w:sz w:val="24"/>
        </w:rPr>
        <w:t>（</w:t>
      </w:r>
      <w:r>
        <w:rPr>
          <w:bCs/>
          <w:sz w:val="24"/>
        </w:rPr>
        <w:t>4</w:t>
      </w:r>
      <w:r>
        <w:rPr>
          <w:bCs/>
          <w:sz w:val="24"/>
        </w:rPr>
        <w:t>）销售基金份额；</w:t>
      </w:r>
    </w:p>
    <w:p w14:paraId="22AEC165" w14:textId="77777777" w:rsidR="007C736D" w:rsidRDefault="00662CFB">
      <w:pPr>
        <w:spacing w:line="360" w:lineRule="auto"/>
        <w:ind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0DF177D6" w14:textId="77777777" w:rsidR="007C736D" w:rsidRDefault="00662CFB">
      <w:pPr>
        <w:spacing w:line="360" w:lineRule="auto"/>
        <w:ind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4900CD77" w14:textId="77777777" w:rsidR="007C736D" w:rsidRDefault="00662CFB">
      <w:pPr>
        <w:spacing w:line="360" w:lineRule="auto"/>
        <w:ind w:firstLine="480"/>
        <w:rPr>
          <w:bCs/>
          <w:sz w:val="24"/>
        </w:rPr>
      </w:pPr>
      <w:r>
        <w:rPr>
          <w:bCs/>
          <w:sz w:val="24"/>
        </w:rPr>
        <w:t>（</w:t>
      </w:r>
      <w:r>
        <w:rPr>
          <w:bCs/>
          <w:sz w:val="24"/>
        </w:rPr>
        <w:t>7</w:t>
      </w:r>
      <w:r>
        <w:rPr>
          <w:bCs/>
          <w:sz w:val="24"/>
        </w:rPr>
        <w:t>）在基金托管人更换时，提名新的基金托管人；</w:t>
      </w:r>
    </w:p>
    <w:p w14:paraId="215CF716" w14:textId="77777777" w:rsidR="007C736D" w:rsidRDefault="00662CFB">
      <w:pPr>
        <w:spacing w:line="440" w:lineRule="atLeast"/>
        <w:ind w:firstLine="480"/>
        <w:rPr>
          <w:bCs/>
          <w:sz w:val="24"/>
        </w:rPr>
      </w:pPr>
      <w:r>
        <w:rPr>
          <w:bCs/>
          <w:sz w:val="24"/>
        </w:rPr>
        <w:t>（</w:t>
      </w:r>
      <w:r>
        <w:rPr>
          <w:bCs/>
          <w:sz w:val="24"/>
        </w:rPr>
        <w:t>8</w:t>
      </w:r>
      <w:r>
        <w:rPr>
          <w:bCs/>
          <w:sz w:val="24"/>
        </w:rPr>
        <w:t>）选择、更换基金销售机构，对基金销售机构的相关行为进行监督和处理；</w:t>
      </w:r>
    </w:p>
    <w:p w14:paraId="34F53969" w14:textId="77777777" w:rsidR="007C736D" w:rsidRDefault="00662CFB">
      <w:pPr>
        <w:spacing w:line="440" w:lineRule="atLeast"/>
        <w:ind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7F0E58BB" w14:textId="77777777" w:rsidR="007C736D" w:rsidRDefault="00662CFB">
      <w:pPr>
        <w:spacing w:line="440" w:lineRule="atLeast"/>
        <w:ind w:firstLine="480"/>
        <w:rPr>
          <w:bCs/>
          <w:sz w:val="24"/>
        </w:rPr>
      </w:pPr>
      <w:r>
        <w:rPr>
          <w:bCs/>
          <w:sz w:val="24"/>
        </w:rPr>
        <w:t>（</w:t>
      </w:r>
      <w:r>
        <w:rPr>
          <w:bCs/>
          <w:sz w:val="24"/>
        </w:rPr>
        <w:t>10</w:t>
      </w:r>
      <w:r>
        <w:rPr>
          <w:bCs/>
          <w:sz w:val="24"/>
        </w:rPr>
        <w:t>）依据《基金合同》及有关法律规定决定基金收益的分配方案；</w:t>
      </w:r>
    </w:p>
    <w:p w14:paraId="5668DC3D" w14:textId="77777777" w:rsidR="007C736D" w:rsidRDefault="00662CFB">
      <w:pPr>
        <w:spacing w:line="440" w:lineRule="atLeast"/>
        <w:ind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与</w:t>
      </w:r>
      <w:r>
        <w:rPr>
          <w:bCs/>
          <w:sz w:val="24"/>
        </w:rPr>
        <w:t>转换申请；</w:t>
      </w:r>
    </w:p>
    <w:p w14:paraId="55547440" w14:textId="77777777" w:rsidR="007C736D" w:rsidRDefault="00662CFB">
      <w:pPr>
        <w:spacing w:line="440" w:lineRule="atLeast"/>
        <w:ind w:firstLine="480"/>
        <w:rPr>
          <w:bCs/>
          <w:sz w:val="24"/>
        </w:rPr>
      </w:pPr>
      <w:r>
        <w:rPr>
          <w:bCs/>
          <w:sz w:val="24"/>
        </w:rPr>
        <w:t>（</w:t>
      </w:r>
      <w:r>
        <w:rPr>
          <w:bCs/>
          <w:sz w:val="24"/>
        </w:rPr>
        <w:t>12</w:t>
      </w:r>
      <w:r>
        <w:rPr>
          <w:bCs/>
          <w:sz w:val="24"/>
        </w:rPr>
        <w:t>）</w:t>
      </w:r>
      <w:r>
        <w:rPr>
          <w:rFonts w:hint="eastAsia"/>
          <w:bCs/>
          <w:sz w:val="24"/>
        </w:rPr>
        <w:t>依照法律法规为基金的利益对被投资公司行使股东权利，为基金的利益行使因基金财产投资于证券所产生的权利</w:t>
      </w:r>
      <w:r>
        <w:rPr>
          <w:bCs/>
          <w:sz w:val="24"/>
        </w:rPr>
        <w:t>；</w:t>
      </w:r>
    </w:p>
    <w:p w14:paraId="4478ABA7" w14:textId="77777777" w:rsidR="007C736D" w:rsidRDefault="00662CFB">
      <w:pPr>
        <w:spacing w:line="440" w:lineRule="atLeast"/>
        <w:ind w:firstLine="480"/>
        <w:rPr>
          <w:bCs/>
          <w:sz w:val="24"/>
        </w:rPr>
      </w:pPr>
      <w:r>
        <w:rPr>
          <w:bCs/>
          <w:sz w:val="24"/>
        </w:rPr>
        <w:t>（</w:t>
      </w:r>
      <w:r>
        <w:rPr>
          <w:bCs/>
          <w:sz w:val="24"/>
        </w:rPr>
        <w:t>13</w:t>
      </w:r>
      <w:r>
        <w:rPr>
          <w:bCs/>
          <w:sz w:val="24"/>
        </w:rPr>
        <w:t>）</w:t>
      </w:r>
      <w:r>
        <w:rPr>
          <w:rFonts w:hint="eastAsia"/>
          <w:bCs/>
          <w:sz w:val="24"/>
        </w:rPr>
        <w:t>在法律法规允许的前提下，为基金的利益依法为基金进行融资</w:t>
      </w:r>
      <w:r>
        <w:rPr>
          <w:bCs/>
          <w:sz w:val="24"/>
        </w:rPr>
        <w:t>；</w:t>
      </w:r>
      <w:r>
        <w:rPr>
          <w:bCs/>
          <w:sz w:val="24"/>
        </w:rPr>
        <w:tab/>
      </w:r>
    </w:p>
    <w:p w14:paraId="73ECE35C" w14:textId="77777777" w:rsidR="007C736D" w:rsidRDefault="00662CFB">
      <w:pPr>
        <w:spacing w:line="440" w:lineRule="atLeast"/>
        <w:ind w:firstLine="480"/>
        <w:rPr>
          <w:bCs/>
          <w:sz w:val="24"/>
        </w:rPr>
      </w:pPr>
      <w:r>
        <w:rPr>
          <w:bCs/>
          <w:sz w:val="24"/>
        </w:rPr>
        <w:t>（</w:t>
      </w:r>
      <w:r>
        <w:rPr>
          <w:bCs/>
          <w:sz w:val="24"/>
        </w:rPr>
        <w:t>1</w:t>
      </w:r>
      <w:r>
        <w:rPr>
          <w:rFonts w:hint="eastAsia"/>
          <w:bCs/>
          <w:sz w:val="24"/>
        </w:rPr>
        <w:t>4</w:t>
      </w:r>
      <w:r>
        <w:rPr>
          <w:bCs/>
          <w:sz w:val="24"/>
        </w:rPr>
        <w:t>）</w:t>
      </w:r>
      <w:r>
        <w:rPr>
          <w:rFonts w:hint="eastAsia"/>
          <w:bCs/>
          <w:sz w:val="24"/>
        </w:rPr>
        <w:t>以基金管理人的名义，代表基金份额持有人的利益行使诉讼权利或者实施其他法律行为</w:t>
      </w:r>
      <w:r>
        <w:rPr>
          <w:bCs/>
          <w:sz w:val="24"/>
        </w:rPr>
        <w:t>；</w:t>
      </w:r>
    </w:p>
    <w:p w14:paraId="520F91E5" w14:textId="77777777" w:rsidR="007C736D" w:rsidRDefault="00662CFB">
      <w:pPr>
        <w:spacing w:line="440" w:lineRule="atLeast"/>
        <w:ind w:firstLine="480"/>
        <w:rPr>
          <w:bCs/>
          <w:sz w:val="24"/>
        </w:rPr>
      </w:pPr>
      <w:r>
        <w:rPr>
          <w:bCs/>
          <w:sz w:val="24"/>
        </w:rPr>
        <w:t>（</w:t>
      </w:r>
      <w:r>
        <w:rPr>
          <w:bCs/>
          <w:sz w:val="24"/>
        </w:rPr>
        <w:t>1</w:t>
      </w:r>
      <w:r>
        <w:rPr>
          <w:rFonts w:hint="eastAsia"/>
          <w:bCs/>
          <w:sz w:val="24"/>
        </w:rPr>
        <w:t>5</w:t>
      </w:r>
      <w:r>
        <w:rPr>
          <w:bCs/>
          <w:sz w:val="24"/>
        </w:rPr>
        <w:t>）</w:t>
      </w:r>
      <w:r>
        <w:rPr>
          <w:rFonts w:hint="eastAsia"/>
          <w:bCs/>
          <w:sz w:val="24"/>
        </w:rPr>
        <w:t>选择、更换律师事务所、会计师事务所、证券、期货经纪商或其他</w:t>
      </w:r>
      <w:r>
        <w:rPr>
          <w:rFonts w:hint="eastAsia"/>
          <w:bCs/>
          <w:sz w:val="24"/>
        </w:rPr>
        <w:lastRenderedPageBreak/>
        <w:t>为基金提供服务的外部机构</w:t>
      </w:r>
      <w:r>
        <w:rPr>
          <w:bCs/>
          <w:sz w:val="24"/>
        </w:rPr>
        <w:t>；</w:t>
      </w:r>
    </w:p>
    <w:p w14:paraId="4EC6E16B" w14:textId="77777777" w:rsidR="007C736D" w:rsidRDefault="00662CFB">
      <w:pPr>
        <w:spacing w:line="440" w:lineRule="atLeast"/>
        <w:ind w:firstLine="480"/>
        <w:rPr>
          <w:bCs/>
          <w:sz w:val="24"/>
        </w:rPr>
      </w:pPr>
      <w:r>
        <w:rPr>
          <w:bCs/>
          <w:sz w:val="24"/>
        </w:rPr>
        <w:t>（</w:t>
      </w:r>
      <w:r>
        <w:rPr>
          <w:bCs/>
          <w:sz w:val="24"/>
        </w:rPr>
        <w:t>1</w:t>
      </w:r>
      <w:r>
        <w:rPr>
          <w:rFonts w:hint="eastAsia"/>
          <w:bCs/>
          <w:sz w:val="24"/>
        </w:rPr>
        <w:t>6</w:t>
      </w:r>
      <w:r>
        <w:rPr>
          <w:bCs/>
          <w:sz w:val="24"/>
        </w:rPr>
        <w:t>）</w:t>
      </w:r>
      <w:r>
        <w:rPr>
          <w:rFonts w:hint="eastAsia"/>
          <w:bCs/>
          <w:sz w:val="24"/>
        </w:rPr>
        <w:t>在符合有关法律、法规的前提下，制订和调整有关基金认购、申购、赎回、转换、定期定额投资、转托管和非交易过户等业务规则；</w:t>
      </w:r>
    </w:p>
    <w:p w14:paraId="45235C1C" w14:textId="77777777" w:rsidR="007C736D" w:rsidRDefault="00662CFB">
      <w:pPr>
        <w:spacing w:line="440" w:lineRule="atLeast"/>
        <w:ind w:firstLine="480"/>
        <w:rPr>
          <w:bCs/>
          <w:sz w:val="24"/>
        </w:rPr>
      </w:pPr>
      <w:r>
        <w:rPr>
          <w:rFonts w:hint="eastAsia"/>
          <w:bCs/>
          <w:sz w:val="24"/>
        </w:rPr>
        <w:t>（</w:t>
      </w:r>
      <w:r>
        <w:rPr>
          <w:rFonts w:hint="eastAsia"/>
          <w:bCs/>
          <w:sz w:val="24"/>
        </w:rPr>
        <w:t>17</w:t>
      </w:r>
      <w:r>
        <w:rPr>
          <w:rFonts w:hint="eastAsia"/>
          <w:bCs/>
          <w:sz w:val="24"/>
        </w:rPr>
        <w:t>）法律法规及中国证监会规定的和《基金合同》约定的其他权利。</w:t>
      </w:r>
    </w:p>
    <w:p w14:paraId="35844E35" w14:textId="77777777" w:rsidR="007C736D" w:rsidRDefault="00662CFB">
      <w:pPr>
        <w:spacing w:line="440" w:lineRule="atLeast"/>
        <w:ind w:firstLine="480"/>
        <w:rPr>
          <w:bCs/>
          <w:sz w:val="24"/>
        </w:rPr>
      </w:pPr>
      <w:r>
        <w:rPr>
          <w:bCs/>
          <w:sz w:val="24"/>
        </w:rPr>
        <w:t>2</w:t>
      </w:r>
      <w:r>
        <w:rPr>
          <w:bCs/>
          <w:sz w:val="24"/>
        </w:rPr>
        <w:t>、根据《基金法》、《运作办法》及其他有关规定，基金管理人的义务包括但不限于：</w:t>
      </w:r>
    </w:p>
    <w:p w14:paraId="2A9EB3EA" w14:textId="77777777" w:rsidR="007C736D" w:rsidRDefault="00662CFB">
      <w:pPr>
        <w:spacing w:line="440" w:lineRule="atLeast"/>
        <w:ind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w:t>
      </w:r>
      <w:r>
        <w:rPr>
          <w:bCs/>
          <w:sz w:val="24"/>
        </w:rPr>
        <w:t>基金份额的发售、申购、赎回和登记事宜；</w:t>
      </w:r>
    </w:p>
    <w:p w14:paraId="0B26891E" w14:textId="77777777" w:rsidR="007C736D" w:rsidRDefault="00662CFB">
      <w:pPr>
        <w:spacing w:line="440" w:lineRule="atLeast"/>
        <w:ind w:firstLine="480"/>
        <w:rPr>
          <w:bCs/>
          <w:sz w:val="24"/>
        </w:rPr>
      </w:pPr>
      <w:r>
        <w:rPr>
          <w:bCs/>
          <w:sz w:val="24"/>
        </w:rPr>
        <w:t>（</w:t>
      </w:r>
      <w:r>
        <w:rPr>
          <w:bCs/>
          <w:sz w:val="24"/>
        </w:rPr>
        <w:t>2</w:t>
      </w:r>
      <w:r>
        <w:rPr>
          <w:bCs/>
          <w:sz w:val="24"/>
        </w:rPr>
        <w:t>）办理基金备案手续；</w:t>
      </w:r>
    </w:p>
    <w:p w14:paraId="6CE49480" w14:textId="77777777" w:rsidR="007C736D" w:rsidRDefault="00662CFB">
      <w:pPr>
        <w:spacing w:line="440" w:lineRule="atLeast"/>
        <w:ind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2F7E95DC" w14:textId="77777777" w:rsidR="007C736D" w:rsidRDefault="00662CFB">
      <w:pPr>
        <w:spacing w:line="440" w:lineRule="atLeast"/>
        <w:ind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5D0A6F46" w14:textId="77777777" w:rsidR="007C736D" w:rsidRDefault="00662CFB">
      <w:pPr>
        <w:spacing w:line="440" w:lineRule="atLeast"/>
        <w:ind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2927E034" w14:textId="77777777" w:rsidR="007C736D" w:rsidRDefault="00662CFB">
      <w:pPr>
        <w:spacing w:line="360" w:lineRule="auto"/>
        <w:ind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w:t>
      </w:r>
      <w:r>
        <w:rPr>
          <w:bCs/>
          <w:sz w:val="24"/>
        </w:rPr>
        <w:t>得委托第三人运作基金财产；</w:t>
      </w:r>
    </w:p>
    <w:p w14:paraId="773D711D" w14:textId="77777777" w:rsidR="007C736D" w:rsidRDefault="00662CFB">
      <w:pPr>
        <w:spacing w:line="360" w:lineRule="auto"/>
        <w:ind w:firstLine="480"/>
        <w:rPr>
          <w:bCs/>
          <w:sz w:val="24"/>
        </w:rPr>
      </w:pPr>
      <w:r>
        <w:rPr>
          <w:bCs/>
          <w:sz w:val="24"/>
        </w:rPr>
        <w:t>（</w:t>
      </w:r>
      <w:r>
        <w:rPr>
          <w:bCs/>
          <w:sz w:val="24"/>
        </w:rPr>
        <w:t>7</w:t>
      </w:r>
      <w:r>
        <w:rPr>
          <w:bCs/>
          <w:sz w:val="24"/>
        </w:rPr>
        <w:t>）依法接受基金托管人的监督；</w:t>
      </w:r>
    </w:p>
    <w:p w14:paraId="7AA9A208" w14:textId="77777777" w:rsidR="007C736D" w:rsidRDefault="00662CFB">
      <w:pPr>
        <w:spacing w:line="360" w:lineRule="auto"/>
        <w:ind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w:t>
      </w:r>
      <w:r>
        <w:rPr>
          <w:rFonts w:hint="eastAsia"/>
          <w:bCs/>
          <w:sz w:val="24"/>
        </w:rPr>
        <w:t>公告</w:t>
      </w:r>
      <w:r>
        <w:rPr>
          <w:bCs/>
          <w:sz w:val="24"/>
        </w:rPr>
        <w:t>基金净值</w:t>
      </w:r>
      <w:r>
        <w:rPr>
          <w:rFonts w:hint="eastAsia"/>
          <w:bCs/>
          <w:sz w:val="24"/>
        </w:rPr>
        <w:t>信息</w:t>
      </w:r>
      <w:r>
        <w:rPr>
          <w:bCs/>
          <w:sz w:val="24"/>
        </w:rPr>
        <w:t>，确定基金份额申购、赎回的价格；</w:t>
      </w:r>
    </w:p>
    <w:p w14:paraId="23CD20B2" w14:textId="77777777" w:rsidR="007C736D" w:rsidRDefault="00662CFB">
      <w:pPr>
        <w:spacing w:line="360" w:lineRule="auto"/>
        <w:ind w:firstLine="480"/>
        <w:rPr>
          <w:bCs/>
          <w:sz w:val="24"/>
        </w:rPr>
      </w:pPr>
      <w:r>
        <w:rPr>
          <w:bCs/>
          <w:sz w:val="24"/>
        </w:rPr>
        <w:t>（</w:t>
      </w:r>
      <w:r>
        <w:rPr>
          <w:bCs/>
          <w:sz w:val="24"/>
        </w:rPr>
        <w:t>9</w:t>
      </w:r>
      <w:r>
        <w:rPr>
          <w:bCs/>
          <w:sz w:val="24"/>
        </w:rPr>
        <w:t>）进行基金会计核算并编制基金财务会计报告；</w:t>
      </w:r>
    </w:p>
    <w:p w14:paraId="344D7EC4" w14:textId="77777777" w:rsidR="007C736D" w:rsidRDefault="00662CFB">
      <w:pPr>
        <w:spacing w:line="360" w:lineRule="auto"/>
        <w:ind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p>
    <w:p w14:paraId="6571F278" w14:textId="77777777" w:rsidR="007C736D" w:rsidRDefault="00662CFB">
      <w:pPr>
        <w:spacing w:line="360" w:lineRule="auto"/>
        <w:ind w:firstLine="480"/>
        <w:rPr>
          <w:bCs/>
          <w:sz w:val="24"/>
        </w:rPr>
      </w:pPr>
      <w:r>
        <w:rPr>
          <w:bCs/>
          <w:sz w:val="24"/>
        </w:rPr>
        <w:t>（</w:t>
      </w:r>
      <w:r>
        <w:rPr>
          <w:bCs/>
          <w:sz w:val="24"/>
        </w:rPr>
        <w:t>11</w:t>
      </w:r>
      <w:r>
        <w:rPr>
          <w:bCs/>
          <w:sz w:val="24"/>
        </w:rPr>
        <w:t>）严格按照《基金法》、《基金合同》及其他有关规定，履行信息披露及报告义务；</w:t>
      </w:r>
    </w:p>
    <w:p w14:paraId="36BE4CDF" w14:textId="77777777" w:rsidR="007C736D" w:rsidRDefault="00662CFB">
      <w:pPr>
        <w:spacing w:line="360" w:lineRule="auto"/>
        <w:ind w:firstLine="480"/>
        <w:rPr>
          <w:bCs/>
          <w:sz w:val="24"/>
        </w:rPr>
      </w:pPr>
      <w:r>
        <w:rPr>
          <w:bCs/>
          <w:sz w:val="24"/>
        </w:rPr>
        <w:t>（</w:t>
      </w:r>
      <w:r>
        <w:rPr>
          <w:bCs/>
          <w:sz w:val="24"/>
        </w:rPr>
        <w:t>12</w:t>
      </w:r>
      <w:r>
        <w:rPr>
          <w:bCs/>
          <w:sz w:val="24"/>
        </w:rPr>
        <w:t>）保守基金商业秘密，不泄露基金投资计划、投资意向等。除《基金法》、《基金合同》及其他有关规定另有规定</w:t>
      </w:r>
      <w:r>
        <w:rPr>
          <w:bCs/>
          <w:sz w:val="24"/>
        </w:rPr>
        <w:t>外，在基金信息公开披露前应予保密，不向他人泄露</w:t>
      </w:r>
      <w:r>
        <w:rPr>
          <w:rFonts w:hint="eastAsia"/>
          <w:bCs/>
          <w:sz w:val="24"/>
        </w:rPr>
        <w:t>，但应监管机构、司法机关等有权机关的要求，或因审计、法律等外部专业顾问提供服务需要提供的情况除外</w:t>
      </w:r>
      <w:r>
        <w:rPr>
          <w:bCs/>
          <w:sz w:val="24"/>
        </w:rPr>
        <w:t>；</w:t>
      </w:r>
    </w:p>
    <w:p w14:paraId="1FEC3EEC" w14:textId="77777777" w:rsidR="007C736D" w:rsidRDefault="00662CFB">
      <w:pPr>
        <w:spacing w:line="360" w:lineRule="auto"/>
        <w:ind w:firstLine="480"/>
        <w:rPr>
          <w:bCs/>
          <w:sz w:val="24"/>
        </w:rPr>
      </w:pPr>
      <w:r>
        <w:rPr>
          <w:bCs/>
          <w:sz w:val="24"/>
        </w:rPr>
        <w:lastRenderedPageBreak/>
        <w:t>（</w:t>
      </w:r>
      <w:r>
        <w:rPr>
          <w:bCs/>
          <w:sz w:val="24"/>
        </w:rPr>
        <w:t>13</w:t>
      </w:r>
      <w:r>
        <w:rPr>
          <w:bCs/>
          <w:sz w:val="24"/>
        </w:rPr>
        <w:t>）按《基金合同》的约定确定基金收益分配方案，及时向基金份额持有人分配基金收益；</w:t>
      </w:r>
    </w:p>
    <w:p w14:paraId="123EB746" w14:textId="77777777" w:rsidR="007C736D" w:rsidRDefault="00662CFB">
      <w:pPr>
        <w:spacing w:line="360" w:lineRule="auto"/>
        <w:ind w:firstLine="480"/>
        <w:rPr>
          <w:bCs/>
          <w:sz w:val="24"/>
        </w:rPr>
      </w:pPr>
      <w:r>
        <w:rPr>
          <w:bCs/>
          <w:sz w:val="24"/>
        </w:rPr>
        <w:t>（</w:t>
      </w:r>
      <w:r>
        <w:rPr>
          <w:bCs/>
          <w:sz w:val="24"/>
        </w:rPr>
        <w:t>14</w:t>
      </w:r>
      <w:r>
        <w:rPr>
          <w:bCs/>
          <w:sz w:val="24"/>
        </w:rPr>
        <w:t>）按规定受理申购与赎回申请，及时、足额支付赎回款项；</w:t>
      </w:r>
    </w:p>
    <w:p w14:paraId="2E9ED141" w14:textId="77777777" w:rsidR="007C736D" w:rsidRDefault="00662CFB">
      <w:pPr>
        <w:spacing w:line="360" w:lineRule="auto"/>
        <w:ind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6930E78E" w14:textId="77777777" w:rsidR="007C736D" w:rsidRDefault="00662CFB">
      <w:pPr>
        <w:spacing w:line="360" w:lineRule="auto"/>
        <w:ind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保存期限不</w:t>
      </w:r>
      <w:r>
        <w:rPr>
          <w:rFonts w:hint="eastAsia"/>
          <w:bCs/>
          <w:sz w:val="24"/>
        </w:rPr>
        <w:t>低于法律法规规定的最低期限</w:t>
      </w:r>
      <w:r>
        <w:rPr>
          <w:bCs/>
          <w:sz w:val="24"/>
        </w:rPr>
        <w:t>；</w:t>
      </w:r>
    </w:p>
    <w:p w14:paraId="05728581" w14:textId="77777777" w:rsidR="007C736D" w:rsidRDefault="00662CFB">
      <w:pPr>
        <w:spacing w:line="360" w:lineRule="auto"/>
        <w:ind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C245FFE" w14:textId="77777777" w:rsidR="007C736D" w:rsidRDefault="00662CFB">
      <w:pPr>
        <w:spacing w:line="360" w:lineRule="auto"/>
        <w:ind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234D3A1B" w14:textId="77777777" w:rsidR="007C736D" w:rsidRDefault="00662CFB">
      <w:pPr>
        <w:spacing w:line="360" w:lineRule="auto"/>
        <w:ind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388C91B1" w14:textId="77777777" w:rsidR="007C736D" w:rsidRDefault="00662CFB">
      <w:pPr>
        <w:spacing w:line="360" w:lineRule="auto"/>
        <w:ind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2797A9AE" w14:textId="77777777" w:rsidR="007C736D" w:rsidRDefault="00662CFB">
      <w:pPr>
        <w:spacing w:line="360" w:lineRule="auto"/>
        <w:ind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7F3A333F" w14:textId="77777777" w:rsidR="007C736D" w:rsidRDefault="00662CFB">
      <w:pPr>
        <w:spacing w:line="360" w:lineRule="auto"/>
        <w:ind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70C01F3A" w14:textId="77777777" w:rsidR="007C736D" w:rsidRDefault="00662CFB">
      <w:pPr>
        <w:spacing w:line="360" w:lineRule="auto"/>
        <w:ind w:firstLine="480"/>
        <w:rPr>
          <w:bCs/>
          <w:sz w:val="24"/>
        </w:rPr>
      </w:pPr>
      <w:r>
        <w:rPr>
          <w:bCs/>
          <w:sz w:val="24"/>
        </w:rPr>
        <w:t>（</w:t>
      </w:r>
      <w:r>
        <w:rPr>
          <w:bCs/>
          <w:sz w:val="24"/>
        </w:rPr>
        <w:t>23</w:t>
      </w:r>
      <w:r>
        <w:rPr>
          <w:bCs/>
          <w:sz w:val="24"/>
        </w:rPr>
        <w:t>）以基金管理人名义，代表基金份额持有人利益行使诉讼权利或实施其他法律行为；</w:t>
      </w:r>
    </w:p>
    <w:p w14:paraId="0349D132" w14:textId="77777777" w:rsidR="007C736D" w:rsidRDefault="00662CFB">
      <w:pPr>
        <w:spacing w:line="360" w:lineRule="auto"/>
        <w:ind w:firstLine="480"/>
        <w:rPr>
          <w:bCs/>
          <w:sz w:val="24"/>
        </w:rPr>
      </w:pPr>
      <w:r>
        <w:rPr>
          <w:bCs/>
          <w:sz w:val="24"/>
        </w:rPr>
        <w:t>（</w:t>
      </w:r>
      <w:r>
        <w:rPr>
          <w:bCs/>
          <w:sz w:val="24"/>
        </w:rPr>
        <w:t>24</w:t>
      </w:r>
      <w:r>
        <w:rPr>
          <w:bCs/>
          <w:sz w:val="24"/>
        </w:rPr>
        <w:t>）基金管理人在募集期间未能达到基金的备案条件</w:t>
      </w:r>
      <w:r>
        <w:rPr>
          <w:bCs/>
          <w:sz w:val="24"/>
        </w:rPr>
        <w:t>，《基金合同》不能生效，基金管理人承担全部募集费用，将已募集资金</w:t>
      </w:r>
      <w:r>
        <w:rPr>
          <w:rFonts w:hint="eastAsia"/>
          <w:bCs/>
          <w:sz w:val="24"/>
        </w:rPr>
        <w:t>并</w:t>
      </w:r>
      <w:r>
        <w:rPr>
          <w:bCs/>
          <w:sz w:val="24"/>
        </w:rPr>
        <w:t>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57BF08CA" w14:textId="77777777" w:rsidR="007C736D" w:rsidRDefault="00662CFB">
      <w:pPr>
        <w:spacing w:line="360" w:lineRule="auto"/>
        <w:ind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50FDDDED" w14:textId="77777777" w:rsidR="007C736D" w:rsidRDefault="00662CFB">
      <w:pPr>
        <w:spacing w:line="360" w:lineRule="auto"/>
        <w:ind w:firstLine="480"/>
        <w:rPr>
          <w:bCs/>
          <w:sz w:val="24"/>
        </w:rPr>
      </w:pPr>
      <w:r>
        <w:rPr>
          <w:bCs/>
          <w:sz w:val="24"/>
        </w:rPr>
        <w:t>（</w:t>
      </w:r>
      <w:r>
        <w:rPr>
          <w:bCs/>
          <w:sz w:val="24"/>
        </w:rPr>
        <w:t>26</w:t>
      </w:r>
      <w:r>
        <w:rPr>
          <w:bCs/>
          <w:sz w:val="24"/>
        </w:rPr>
        <w:t>）建立并保存基金份额持有人名册；</w:t>
      </w:r>
    </w:p>
    <w:p w14:paraId="73F5DBCA" w14:textId="77777777" w:rsidR="007C736D" w:rsidRDefault="00662CFB">
      <w:pPr>
        <w:spacing w:line="360" w:lineRule="auto"/>
        <w:ind w:firstLine="480"/>
        <w:rPr>
          <w:bCs/>
          <w:sz w:val="24"/>
        </w:rPr>
      </w:pPr>
      <w:r>
        <w:rPr>
          <w:bCs/>
          <w:sz w:val="24"/>
        </w:rPr>
        <w:t>（</w:t>
      </w:r>
      <w:r>
        <w:rPr>
          <w:bCs/>
          <w:sz w:val="24"/>
        </w:rPr>
        <w:t>27</w:t>
      </w:r>
      <w:r>
        <w:rPr>
          <w:bCs/>
          <w:sz w:val="24"/>
        </w:rPr>
        <w:t>）法律法规及中国证监会规定的和《基金合同》约定的其他义务。</w:t>
      </w:r>
    </w:p>
    <w:p w14:paraId="3C5E5BA9" w14:textId="77777777" w:rsidR="007C736D" w:rsidRDefault="00662CFB">
      <w:pPr>
        <w:spacing w:line="360" w:lineRule="auto"/>
        <w:ind w:firstLine="480"/>
        <w:rPr>
          <w:bCs/>
          <w:sz w:val="24"/>
        </w:rPr>
      </w:pPr>
      <w:r>
        <w:rPr>
          <w:rFonts w:hint="eastAsia"/>
          <w:bCs/>
          <w:sz w:val="24"/>
        </w:rPr>
        <w:lastRenderedPageBreak/>
        <w:t>（二）基金托管人的权利与义务</w:t>
      </w:r>
    </w:p>
    <w:p w14:paraId="6AC6445A" w14:textId="77777777" w:rsidR="007C736D" w:rsidRDefault="00662CFB">
      <w:pPr>
        <w:spacing w:line="360" w:lineRule="auto"/>
        <w:ind w:firstLine="480"/>
        <w:rPr>
          <w:bCs/>
          <w:sz w:val="24"/>
        </w:rPr>
      </w:pPr>
      <w:r>
        <w:rPr>
          <w:bCs/>
          <w:sz w:val="24"/>
        </w:rPr>
        <w:t>1</w:t>
      </w:r>
      <w:r>
        <w:rPr>
          <w:bCs/>
          <w:sz w:val="24"/>
        </w:rPr>
        <w:t>、根据《基金法》、《运作办法》及其他有关规定，基金托管人的权利包括但不限于：</w:t>
      </w:r>
    </w:p>
    <w:p w14:paraId="49D07F42" w14:textId="77777777" w:rsidR="007C736D" w:rsidRDefault="00662CFB">
      <w:pPr>
        <w:spacing w:line="360" w:lineRule="auto"/>
        <w:ind w:firstLine="480"/>
        <w:rPr>
          <w:bCs/>
          <w:sz w:val="24"/>
        </w:rPr>
      </w:pPr>
      <w:r>
        <w:rPr>
          <w:bCs/>
          <w:sz w:val="24"/>
        </w:rPr>
        <w:t>（</w:t>
      </w:r>
      <w:r>
        <w:rPr>
          <w:bCs/>
          <w:sz w:val="24"/>
        </w:rPr>
        <w:t>1</w:t>
      </w:r>
      <w:r>
        <w:rPr>
          <w:bCs/>
          <w:sz w:val="24"/>
        </w:rPr>
        <w:t>）自《基金合同》生效之日起，依法律法规和《基金合同》的规定安全保管基金财产；</w:t>
      </w:r>
    </w:p>
    <w:p w14:paraId="70D017F4" w14:textId="77777777" w:rsidR="007C736D" w:rsidRDefault="00662CFB">
      <w:pPr>
        <w:spacing w:line="360" w:lineRule="auto"/>
        <w:ind w:firstLine="480"/>
        <w:rPr>
          <w:bCs/>
          <w:sz w:val="24"/>
        </w:rPr>
      </w:pPr>
      <w:r>
        <w:rPr>
          <w:bCs/>
          <w:sz w:val="24"/>
        </w:rPr>
        <w:t>（</w:t>
      </w:r>
      <w:r>
        <w:rPr>
          <w:bCs/>
          <w:sz w:val="24"/>
        </w:rPr>
        <w:t>2</w:t>
      </w:r>
      <w:r>
        <w:rPr>
          <w:bCs/>
          <w:sz w:val="24"/>
        </w:rPr>
        <w:t>）依《基金合同》约定获得基金托管费以及法律法规规定或监管部门批准的其他费用；</w:t>
      </w:r>
    </w:p>
    <w:p w14:paraId="0428DACB" w14:textId="77777777" w:rsidR="007C736D" w:rsidRDefault="00662CFB">
      <w:pPr>
        <w:spacing w:line="360" w:lineRule="auto"/>
        <w:ind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59FF2B8" w14:textId="77777777" w:rsidR="007C736D" w:rsidRDefault="00662CFB">
      <w:pPr>
        <w:spacing w:line="360" w:lineRule="auto"/>
        <w:ind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w:t>
      </w:r>
      <w:r>
        <w:rPr>
          <w:bCs/>
          <w:sz w:val="24"/>
        </w:rPr>
        <w:t>投资所需账户</w:t>
      </w:r>
      <w:r>
        <w:rPr>
          <w:rFonts w:hint="eastAsia"/>
          <w:bCs/>
          <w:sz w:val="24"/>
        </w:rPr>
        <w:t>，</w:t>
      </w:r>
      <w:r>
        <w:rPr>
          <w:bCs/>
          <w:sz w:val="24"/>
        </w:rPr>
        <w:t>为基金办理证券</w:t>
      </w:r>
      <w:r>
        <w:rPr>
          <w:rFonts w:hint="eastAsia"/>
          <w:bCs/>
          <w:sz w:val="24"/>
        </w:rPr>
        <w:t>、</w:t>
      </w:r>
      <w:r>
        <w:rPr>
          <w:bCs/>
          <w:sz w:val="24"/>
        </w:rPr>
        <w:t>期货交易资金清算</w:t>
      </w:r>
      <w:r>
        <w:rPr>
          <w:rFonts w:hint="eastAsia"/>
          <w:bCs/>
          <w:sz w:val="24"/>
        </w:rPr>
        <w:t>；</w:t>
      </w:r>
    </w:p>
    <w:p w14:paraId="07B542E2" w14:textId="77777777" w:rsidR="007C736D" w:rsidRDefault="00662CFB">
      <w:pPr>
        <w:spacing w:line="360" w:lineRule="auto"/>
        <w:ind w:firstLine="480"/>
        <w:rPr>
          <w:bCs/>
          <w:sz w:val="24"/>
        </w:rPr>
      </w:pPr>
      <w:r>
        <w:rPr>
          <w:bCs/>
          <w:sz w:val="24"/>
        </w:rPr>
        <w:t>（</w:t>
      </w:r>
      <w:r>
        <w:rPr>
          <w:bCs/>
          <w:sz w:val="24"/>
        </w:rPr>
        <w:t>5</w:t>
      </w:r>
      <w:r>
        <w:rPr>
          <w:bCs/>
          <w:sz w:val="24"/>
        </w:rPr>
        <w:t>）提议召开或召集基金份额持有人大会；</w:t>
      </w:r>
    </w:p>
    <w:p w14:paraId="449AA1B8" w14:textId="77777777" w:rsidR="007C736D" w:rsidRDefault="00662CFB">
      <w:pPr>
        <w:spacing w:line="360" w:lineRule="auto"/>
        <w:ind w:firstLine="480"/>
        <w:rPr>
          <w:bCs/>
          <w:sz w:val="24"/>
        </w:rPr>
      </w:pPr>
      <w:r>
        <w:rPr>
          <w:bCs/>
          <w:sz w:val="24"/>
        </w:rPr>
        <w:t>（</w:t>
      </w:r>
      <w:r>
        <w:rPr>
          <w:bCs/>
          <w:sz w:val="24"/>
        </w:rPr>
        <w:t>6</w:t>
      </w:r>
      <w:r>
        <w:rPr>
          <w:bCs/>
          <w:sz w:val="24"/>
        </w:rPr>
        <w:t>）在基金管理人更换时，提名新的基金管理人；</w:t>
      </w:r>
    </w:p>
    <w:p w14:paraId="7ADDCDC3" w14:textId="77777777" w:rsidR="007C736D" w:rsidRDefault="00662CFB">
      <w:pPr>
        <w:spacing w:line="360" w:lineRule="auto"/>
        <w:ind w:firstLine="480"/>
        <w:rPr>
          <w:bCs/>
          <w:sz w:val="24"/>
        </w:rPr>
      </w:pPr>
      <w:r>
        <w:rPr>
          <w:bCs/>
          <w:sz w:val="24"/>
        </w:rPr>
        <w:t>（</w:t>
      </w:r>
      <w:r>
        <w:rPr>
          <w:bCs/>
          <w:sz w:val="24"/>
        </w:rPr>
        <w:t>7</w:t>
      </w:r>
      <w:r>
        <w:rPr>
          <w:bCs/>
          <w:sz w:val="24"/>
        </w:rPr>
        <w:t>）</w:t>
      </w:r>
      <w:r>
        <w:rPr>
          <w:rFonts w:hint="eastAsia"/>
          <w:bCs/>
          <w:sz w:val="24"/>
        </w:rPr>
        <w:t>法律法规及中国证监会规定的和《基</w:t>
      </w:r>
      <w:r>
        <w:rPr>
          <w:rFonts w:hint="eastAsia"/>
          <w:bCs/>
          <w:sz w:val="24"/>
        </w:rPr>
        <w:t>金合同》约定的其他</w:t>
      </w:r>
      <w:r>
        <w:rPr>
          <w:bCs/>
          <w:sz w:val="24"/>
        </w:rPr>
        <w:t>权利。</w:t>
      </w:r>
    </w:p>
    <w:p w14:paraId="3B51A40A" w14:textId="77777777" w:rsidR="007C736D" w:rsidRDefault="00662CFB">
      <w:pPr>
        <w:spacing w:line="360" w:lineRule="auto"/>
        <w:ind w:firstLine="480"/>
        <w:rPr>
          <w:bCs/>
          <w:sz w:val="24"/>
        </w:rPr>
      </w:pPr>
      <w:r>
        <w:rPr>
          <w:bCs/>
          <w:sz w:val="24"/>
        </w:rPr>
        <w:t>2</w:t>
      </w:r>
      <w:r>
        <w:rPr>
          <w:bCs/>
          <w:sz w:val="24"/>
        </w:rPr>
        <w:t>、根据《基金法》、《运作办法》及其他有关规定，基金托管人的义务包括但不限于：</w:t>
      </w:r>
    </w:p>
    <w:p w14:paraId="6FB4680F" w14:textId="77777777" w:rsidR="007C736D" w:rsidRDefault="00662CFB">
      <w:pPr>
        <w:spacing w:line="360" w:lineRule="auto"/>
        <w:ind w:firstLine="480"/>
        <w:rPr>
          <w:bCs/>
          <w:sz w:val="24"/>
        </w:rPr>
      </w:pPr>
      <w:r>
        <w:rPr>
          <w:bCs/>
          <w:sz w:val="24"/>
        </w:rPr>
        <w:t>（</w:t>
      </w:r>
      <w:r>
        <w:rPr>
          <w:bCs/>
          <w:sz w:val="24"/>
        </w:rPr>
        <w:t>1</w:t>
      </w:r>
      <w:r>
        <w:rPr>
          <w:bCs/>
          <w:sz w:val="24"/>
        </w:rPr>
        <w:t>）以诚实信用、勤勉尽责的原则持有并安全保管基金财产；</w:t>
      </w:r>
    </w:p>
    <w:p w14:paraId="263C8FA7" w14:textId="77777777" w:rsidR="007C736D" w:rsidRDefault="00662CFB">
      <w:pPr>
        <w:spacing w:line="360" w:lineRule="auto"/>
        <w:ind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79A83D51" w14:textId="77777777" w:rsidR="007C736D" w:rsidRDefault="00662CFB">
      <w:pPr>
        <w:spacing w:line="360" w:lineRule="auto"/>
        <w:ind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w:t>
      </w:r>
      <w:r>
        <w:rPr>
          <w:bCs/>
          <w:sz w:val="24"/>
        </w:rPr>
        <w:t>在账户设置、资金划拨、账册记录等方面相互独立；</w:t>
      </w:r>
    </w:p>
    <w:p w14:paraId="347B310D" w14:textId="77777777" w:rsidR="007C736D" w:rsidRDefault="00662CFB">
      <w:pPr>
        <w:spacing w:line="360" w:lineRule="auto"/>
        <w:ind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45DD6DFC" w14:textId="77777777" w:rsidR="007C736D" w:rsidRDefault="00662CFB">
      <w:pPr>
        <w:spacing w:line="360" w:lineRule="auto"/>
        <w:ind w:firstLine="480"/>
        <w:rPr>
          <w:bCs/>
          <w:sz w:val="24"/>
        </w:rPr>
      </w:pPr>
      <w:r>
        <w:rPr>
          <w:bCs/>
          <w:sz w:val="24"/>
        </w:rPr>
        <w:t>（</w:t>
      </w:r>
      <w:r>
        <w:rPr>
          <w:bCs/>
          <w:sz w:val="24"/>
        </w:rPr>
        <w:t>5</w:t>
      </w:r>
      <w:r>
        <w:rPr>
          <w:bCs/>
          <w:sz w:val="24"/>
        </w:rPr>
        <w:t>）保管由基金管理人代表基金签订的与基金有关的重大合同及有关凭证；</w:t>
      </w:r>
    </w:p>
    <w:p w14:paraId="0F38A49E" w14:textId="77777777" w:rsidR="007C736D" w:rsidRDefault="00662CFB">
      <w:pPr>
        <w:spacing w:line="360" w:lineRule="auto"/>
        <w:ind w:firstLine="480"/>
        <w:rPr>
          <w:bCs/>
          <w:sz w:val="24"/>
        </w:rPr>
      </w:pPr>
      <w:r>
        <w:rPr>
          <w:bCs/>
          <w:sz w:val="24"/>
        </w:rPr>
        <w:t>（</w:t>
      </w:r>
      <w:r>
        <w:rPr>
          <w:bCs/>
          <w:sz w:val="24"/>
        </w:rPr>
        <w:t>6</w:t>
      </w:r>
      <w:r>
        <w:rPr>
          <w:bCs/>
          <w:sz w:val="24"/>
        </w:rPr>
        <w:t>）按规定开设基金财产的资金账户</w:t>
      </w:r>
      <w:r>
        <w:rPr>
          <w:rFonts w:hint="eastAsia"/>
          <w:bCs/>
          <w:sz w:val="24"/>
        </w:rPr>
        <w:t>和</w:t>
      </w:r>
      <w:r>
        <w:rPr>
          <w:bCs/>
          <w:sz w:val="24"/>
        </w:rPr>
        <w:t>证券账户</w:t>
      </w:r>
      <w:r>
        <w:rPr>
          <w:rFonts w:hint="eastAsia"/>
          <w:bCs/>
          <w:sz w:val="24"/>
        </w:rPr>
        <w:t>等</w:t>
      </w:r>
      <w:r>
        <w:rPr>
          <w:bCs/>
          <w:sz w:val="24"/>
        </w:rPr>
        <w:t>投资所需账户</w:t>
      </w:r>
      <w:r>
        <w:rPr>
          <w:rFonts w:hint="eastAsia"/>
          <w:bCs/>
          <w:sz w:val="24"/>
        </w:rPr>
        <w:t>，</w:t>
      </w:r>
      <w:r>
        <w:rPr>
          <w:bCs/>
          <w:sz w:val="24"/>
        </w:rPr>
        <w:t>按照《基金合同》的约定，根据基金管理人的投资指令，及时办理清算、交割事宜；</w:t>
      </w:r>
    </w:p>
    <w:p w14:paraId="56C98F4B" w14:textId="77777777" w:rsidR="007C736D" w:rsidRDefault="00662CFB">
      <w:pPr>
        <w:spacing w:line="360" w:lineRule="auto"/>
        <w:ind w:firstLine="480"/>
        <w:rPr>
          <w:bCs/>
          <w:sz w:val="24"/>
        </w:rPr>
      </w:pPr>
      <w:r>
        <w:rPr>
          <w:bCs/>
          <w:sz w:val="24"/>
        </w:rPr>
        <w:lastRenderedPageBreak/>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，但应监管</w:t>
      </w:r>
      <w:r>
        <w:rPr>
          <w:rFonts w:hint="eastAsia"/>
          <w:bCs/>
          <w:sz w:val="24"/>
        </w:rPr>
        <w:t>机构、司法机关、托管人上市的证券交易所等有权机关的要求，或因审计、法律等外部专业顾问提供服务需要提供的情况除外</w:t>
      </w:r>
      <w:r>
        <w:rPr>
          <w:bCs/>
          <w:sz w:val="24"/>
        </w:rPr>
        <w:t>；</w:t>
      </w:r>
    </w:p>
    <w:p w14:paraId="392CF924" w14:textId="77777777" w:rsidR="007C736D" w:rsidRDefault="00662CFB">
      <w:pPr>
        <w:spacing w:line="360" w:lineRule="auto"/>
        <w:ind w:firstLine="480"/>
        <w:rPr>
          <w:bCs/>
          <w:sz w:val="24"/>
        </w:rPr>
      </w:pPr>
      <w:r>
        <w:rPr>
          <w:bCs/>
          <w:sz w:val="24"/>
        </w:rPr>
        <w:t>（</w:t>
      </w:r>
      <w:r>
        <w:rPr>
          <w:bCs/>
          <w:sz w:val="24"/>
        </w:rPr>
        <w:t>8</w:t>
      </w:r>
      <w:r>
        <w:rPr>
          <w:bCs/>
          <w:sz w:val="24"/>
        </w:rPr>
        <w:t>）复核、审查基金管理人计算的基金资产净值、</w:t>
      </w:r>
      <w:r>
        <w:rPr>
          <w:rFonts w:hint="eastAsia"/>
          <w:bCs/>
          <w:sz w:val="24"/>
        </w:rPr>
        <w:t>各类基金份额的基金份额净值、</w:t>
      </w:r>
      <w:r>
        <w:rPr>
          <w:bCs/>
          <w:sz w:val="24"/>
        </w:rPr>
        <w:t>基金份额申购、赎回价格；</w:t>
      </w:r>
    </w:p>
    <w:p w14:paraId="3CCEAFDA" w14:textId="77777777" w:rsidR="007C736D" w:rsidRDefault="00662CFB">
      <w:pPr>
        <w:spacing w:line="360" w:lineRule="auto"/>
        <w:ind w:firstLine="480"/>
        <w:rPr>
          <w:bCs/>
          <w:sz w:val="24"/>
        </w:rPr>
      </w:pPr>
      <w:r>
        <w:rPr>
          <w:bCs/>
          <w:sz w:val="24"/>
        </w:rPr>
        <w:t>（</w:t>
      </w:r>
      <w:r>
        <w:rPr>
          <w:bCs/>
          <w:sz w:val="24"/>
        </w:rPr>
        <w:t>9</w:t>
      </w:r>
      <w:r>
        <w:rPr>
          <w:bCs/>
          <w:sz w:val="24"/>
        </w:rPr>
        <w:t>）办理与基金托管业务活动有关的信息披露事项；</w:t>
      </w:r>
    </w:p>
    <w:p w14:paraId="1FBE7FA4" w14:textId="77777777" w:rsidR="007C736D" w:rsidRDefault="00662CFB">
      <w:pPr>
        <w:spacing w:line="360" w:lineRule="auto"/>
        <w:ind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5259C3DB" w14:textId="77777777" w:rsidR="007C736D" w:rsidRDefault="00662CFB">
      <w:pPr>
        <w:spacing w:line="360" w:lineRule="auto"/>
        <w:ind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保存期限不低于法律法规规定的最低期限</w:t>
      </w:r>
      <w:r>
        <w:rPr>
          <w:bCs/>
          <w:sz w:val="24"/>
        </w:rPr>
        <w:t>；</w:t>
      </w:r>
    </w:p>
    <w:p w14:paraId="7E01CAB7" w14:textId="77777777" w:rsidR="007C736D" w:rsidRDefault="00662CFB">
      <w:pPr>
        <w:spacing w:line="360" w:lineRule="auto"/>
        <w:ind w:firstLine="480"/>
        <w:rPr>
          <w:bCs/>
          <w:sz w:val="24"/>
        </w:rPr>
      </w:pPr>
      <w:r>
        <w:rPr>
          <w:bCs/>
          <w:sz w:val="24"/>
        </w:rPr>
        <w:t>（</w:t>
      </w:r>
      <w:r>
        <w:rPr>
          <w:bCs/>
          <w:sz w:val="24"/>
        </w:rPr>
        <w:t>12</w:t>
      </w:r>
      <w:r>
        <w:rPr>
          <w:bCs/>
          <w:sz w:val="24"/>
        </w:rPr>
        <w:t>）</w:t>
      </w:r>
      <w:r>
        <w:rPr>
          <w:rFonts w:hint="eastAsia"/>
          <w:bCs/>
          <w:sz w:val="24"/>
        </w:rPr>
        <w:t>从基金管理人或其委托的登记机构处接收并保存基金份额持有人名册</w:t>
      </w:r>
      <w:r>
        <w:rPr>
          <w:bCs/>
          <w:sz w:val="24"/>
        </w:rPr>
        <w:t>；</w:t>
      </w:r>
    </w:p>
    <w:p w14:paraId="4C23FE0F" w14:textId="77777777" w:rsidR="007C736D" w:rsidRDefault="00662CFB">
      <w:pPr>
        <w:spacing w:line="360" w:lineRule="auto"/>
        <w:ind w:firstLine="480"/>
        <w:rPr>
          <w:bCs/>
          <w:sz w:val="24"/>
        </w:rPr>
      </w:pPr>
      <w:r>
        <w:rPr>
          <w:bCs/>
          <w:sz w:val="24"/>
        </w:rPr>
        <w:t>（</w:t>
      </w:r>
      <w:r>
        <w:rPr>
          <w:bCs/>
          <w:sz w:val="24"/>
        </w:rPr>
        <w:t>13</w:t>
      </w:r>
      <w:r>
        <w:rPr>
          <w:bCs/>
          <w:sz w:val="24"/>
        </w:rPr>
        <w:t>）按规定制作相关账册并与基金管理人核对；</w:t>
      </w:r>
    </w:p>
    <w:p w14:paraId="15A56506" w14:textId="77777777" w:rsidR="007C736D" w:rsidRDefault="00662CFB">
      <w:pPr>
        <w:spacing w:line="360" w:lineRule="auto"/>
        <w:ind w:firstLine="480"/>
        <w:rPr>
          <w:bCs/>
          <w:sz w:val="24"/>
        </w:rPr>
      </w:pPr>
      <w:r>
        <w:rPr>
          <w:bCs/>
          <w:sz w:val="24"/>
        </w:rPr>
        <w:t>（</w:t>
      </w:r>
      <w:r>
        <w:rPr>
          <w:bCs/>
          <w:sz w:val="24"/>
        </w:rPr>
        <w:t>14</w:t>
      </w:r>
      <w:r>
        <w:rPr>
          <w:bCs/>
          <w:sz w:val="24"/>
        </w:rPr>
        <w:t>）依据基金管理人的指令或有关规定向基金份额持有人支付基金收益和赎回款项；</w:t>
      </w:r>
    </w:p>
    <w:p w14:paraId="2743BA07" w14:textId="77777777" w:rsidR="007C736D" w:rsidRDefault="00662CFB">
      <w:pPr>
        <w:spacing w:line="360" w:lineRule="auto"/>
        <w:ind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5BD04807" w14:textId="77777777" w:rsidR="007C736D" w:rsidRDefault="00662CFB">
      <w:pPr>
        <w:spacing w:line="360" w:lineRule="auto"/>
        <w:ind w:firstLine="480"/>
        <w:rPr>
          <w:bCs/>
          <w:sz w:val="24"/>
        </w:rPr>
      </w:pPr>
      <w:r>
        <w:rPr>
          <w:bCs/>
          <w:sz w:val="24"/>
        </w:rPr>
        <w:t>（</w:t>
      </w:r>
      <w:r>
        <w:rPr>
          <w:bCs/>
          <w:sz w:val="24"/>
        </w:rPr>
        <w:t>16</w:t>
      </w:r>
      <w:r>
        <w:rPr>
          <w:bCs/>
          <w:sz w:val="24"/>
        </w:rPr>
        <w:t>）按照法律法规和《基金合同》的规定监督基金管理人的投资运作；</w:t>
      </w:r>
    </w:p>
    <w:p w14:paraId="669888F4" w14:textId="77777777" w:rsidR="007C736D" w:rsidRDefault="00662CFB">
      <w:pPr>
        <w:spacing w:line="360" w:lineRule="auto"/>
        <w:ind w:firstLine="480"/>
        <w:rPr>
          <w:bCs/>
          <w:sz w:val="24"/>
        </w:rPr>
      </w:pPr>
      <w:r>
        <w:rPr>
          <w:bCs/>
          <w:sz w:val="24"/>
        </w:rPr>
        <w:t>（</w:t>
      </w:r>
      <w:r>
        <w:rPr>
          <w:bCs/>
          <w:sz w:val="24"/>
        </w:rPr>
        <w:t>17</w:t>
      </w:r>
      <w:r>
        <w:rPr>
          <w:bCs/>
          <w:sz w:val="24"/>
        </w:rPr>
        <w:t>）参加基金财产清算小组，参与基金财产的保管、清理、估价、变现和分配；</w:t>
      </w:r>
    </w:p>
    <w:p w14:paraId="50D128BF" w14:textId="77777777" w:rsidR="007C736D" w:rsidRDefault="00662CFB">
      <w:pPr>
        <w:spacing w:line="360" w:lineRule="auto"/>
        <w:ind w:firstLine="480"/>
        <w:rPr>
          <w:bCs/>
          <w:sz w:val="24"/>
        </w:rPr>
      </w:pPr>
      <w:r>
        <w:rPr>
          <w:bCs/>
          <w:sz w:val="24"/>
        </w:rPr>
        <w:t>（</w:t>
      </w:r>
      <w:r>
        <w:rPr>
          <w:bCs/>
          <w:sz w:val="24"/>
        </w:rPr>
        <w:t>18</w:t>
      </w:r>
      <w:r>
        <w:rPr>
          <w:bCs/>
          <w:sz w:val="24"/>
        </w:rPr>
        <w:t>）面临解散、依法被撤销或者被依法宣告破产时，及时报告中国证监会和银行业监督管理机构，并通知基金管理人；</w:t>
      </w:r>
    </w:p>
    <w:p w14:paraId="1007B7F9" w14:textId="77777777" w:rsidR="007C736D" w:rsidRDefault="00662CFB">
      <w:pPr>
        <w:spacing w:line="360" w:lineRule="auto"/>
        <w:ind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18F770A7" w14:textId="77777777" w:rsidR="007C736D" w:rsidRDefault="00662CFB">
      <w:pPr>
        <w:spacing w:line="360" w:lineRule="auto"/>
        <w:ind w:firstLine="480"/>
        <w:rPr>
          <w:bCs/>
          <w:sz w:val="24"/>
        </w:rPr>
      </w:pPr>
      <w:r>
        <w:rPr>
          <w:bCs/>
          <w:sz w:val="24"/>
        </w:rPr>
        <w:t>（</w:t>
      </w:r>
      <w:r>
        <w:rPr>
          <w:bCs/>
          <w:sz w:val="24"/>
        </w:rPr>
        <w:t>20</w:t>
      </w:r>
      <w:r>
        <w:rPr>
          <w:bCs/>
          <w:sz w:val="24"/>
        </w:rPr>
        <w:t>）</w:t>
      </w:r>
      <w:r>
        <w:rPr>
          <w:rFonts w:hint="eastAsia"/>
          <w:bCs/>
          <w:sz w:val="24"/>
        </w:rPr>
        <w:t>按规定</w:t>
      </w:r>
      <w:r>
        <w:rPr>
          <w:bCs/>
          <w:sz w:val="24"/>
        </w:rPr>
        <w:t>监督基金管理人按法律法规和《基金合同》规定履行自己的义务，基金管理人因违反《基金合同》造成基金财产损失时，应为基金份额持</w:t>
      </w:r>
      <w:r>
        <w:rPr>
          <w:bCs/>
          <w:sz w:val="24"/>
        </w:rPr>
        <w:lastRenderedPageBreak/>
        <w:t>有人利益向基金管理人追偿；</w:t>
      </w:r>
    </w:p>
    <w:p w14:paraId="1AA56ABD" w14:textId="77777777" w:rsidR="007C736D" w:rsidRDefault="00662CFB">
      <w:pPr>
        <w:spacing w:line="360" w:lineRule="auto"/>
        <w:ind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14:paraId="3A394890" w14:textId="77777777" w:rsidR="007C736D" w:rsidRDefault="00662CFB">
      <w:pPr>
        <w:spacing w:line="360" w:lineRule="auto"/>
        <w:ind w:firstLine="480"/>
        <w:rPr>
          <w:bCs/>
          <w:sz w:val="24"/>
        </w:rPr>
      </w:pPr>
      <w:r>
        <w:rPr>
          <w:bCs/>
          <w:sz w:val="24"/>
        </w:rPr>
        <w:t>（</w:t>
      </w:r>
      <w:r>
        <w:rPr>
          <w:bCs/>
          <w:sz w:val="24"/>
        </w:rPr>
        <w:t>22</w:t>
      </w:r>
      <w:r>
        <w:rPr>
          <w:bCs/>
          <w:sz w:val="24"/>
        </w:rPr>
        <w:t>）法律法规及中国证监会规定的和《基金合同》约定的其他义务。</w:t>
      </w:r>
    </w:p>
    <w:p w14:paraId="0C7471E3" w14:textId="77777777" w:rsidR="007C736D" w:rsidRDefault="00662CFB">
      <w:pPr>
        <w:spacing w:line="360" w:lineRule="auto"/>
        <w:ind w:firstLine="480"/>
        <w:rPr>
          <w:rFonts w:ascii="宋体" w:hAnsi="宋体"/>
          <w:sz w:val="24"/>
        </w:rPr>
      </w:pPr>
      <w:r>
        <w:rPr>
          <w:rFonts w:ascii="宋体" w:hAnsi="宋体" w:hint="eastAsia"/>
          <w:sz w:val="24"/>
        </w:rPr>
        <w:t>（三）基金份额持有人的权利和义务</w:t>
      </w:r>
    </w:p>
    <w:p w14:paraId="42457A3A" w14:textId="77777777" w:rsidR="007C736D" w:rsidRDefault="00662CFB">
      <w:pPr>
        <w:spacing w:line="360" w:lineRule="auto"/>
        <w:ind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15569239" w14:textId="77777777" w:rsidR="007C736D" w:rsidRDefault="00662CFB">
      <w:pPr>
        <w:spacing w:line="360" w:lineRule="auto"/>
        <w:ind w:firstLine="480"/>
        <w:rPr>
          <w:bCs/>
          <w:sz w:val="24"/>
        </w:rPr>
      </w:pPr>
      <w:r>
        <w:rPr>
          <w:rFonts w:hint="eastAsia"/>
          <w:bCs/>
          <w:sz w:val="24"/>
        </w:rPr>
        <w:t>除法律法规另有规定或基金合同另有约定外，同一</w:t>
      </w:r>
      <w:r>
        <w:rPr>
          <w:bCs/>
          <w:sz w:val="24"/>
        </w:rPr>
        <w:t>类别的每份基金份额具有同等的合法权益。</w:t>
      </w:r>
    </w:p>
    <w:p w14:paraId="7CE56D9C" w14:textId="77777777" w:rsidR="007C736D" w:rsidRDefault="00662CFB">
      <w:pPr>
        <w:spacing w:line="360" w:lineRule="auto"/>
        <w:ind w:firstLine="480"/>
        <w:rPr>
          <w:bCs/>
          <w:sz w:val="24"/>
        </w:rPr>
      </w:pPr>
      <w:r>
        <w:rPr>
          <w:bCs/>
          <w:sz w:val="24"/>
        </w:rPr>
        <w:t>1</w:t>
      </w:r>
      <w:r>
        <w:rPr>
          <w:bCs/>
          <w:sz w:val="24"/>
        </w:rPr>
        <w:t>、根据《基金法》、《运作办法》及其他有关规定，基金份</w:t>
      </w:r>
      <w:r>
        <w:rPr>
          <w:bCs/>
          <w:sz w:val="24"/>
        </w:rPr>
        <w:t>额持有人的权利包括但不限于：</w:t>
      </w:r>
    </w:p>
    <w:p w14:paraId="604479C4" w14:textId="77777777" w:rsidR="007C736D" w:rsidRDefault="00662CFB">
      <w:pPr>
        <w:spacing w:line="360" w:lineRule="auto"/>
        <w:ind w:firstLine="480"/>
        <w:rPr>
          <w:bCs/>
          <w:sz w:val="24"/>
        </w:rPr>
      </w:pPr>
      <w:r>
        <w:rPr>
          <w:bCs/>
          <w:sz w:val="24"/>
        </w:rPr>
        <w:t>（</w:t>
      </w:r>
      <w:r>
        <w:rPr>
          <w:bCs/>
          <w:sz w:val="24"/>
        </w:rPr>
        <w:t>1</w:t>
      </w:r>
      <w:r>
        <w:rPr>
          <w:bCs/>
          <w:sz w:val="24"/>
        </w:rPr>
        <w:t>）分享基金财产收益；</w:t>
      </w:r>
    </w:p>
    <w:p w14:paraId="644D5476" w14:textId="77777777" w:rsidR="007C736D" w:rsidRDefault="00662CFB">
      <w:pPr>
        <w:spacing w:line="360" w:lineRule="auto"/>
        <w:ind w:firstLine="480"/>
        <w:rPr>
          <w:bCs/>
          <w:sz w:val="24"/>
        </w:rPr>
      </w:pPr>
      <w:r>
        <w:rPr>
          <w:bCs/>
          <w:sz w:val="24"/>
        </w:rPr>
        <w:t>（</w:t>
      </w:r>
      <w:r>
        <w:rPr>
          <w:bCs/>
          <w:sz w:val="24"/>
        </w:rPr>
        <w:t>2</w:t>
      </w:r>
      <w:r>
        <w:rPr>
          <w:bCs/>
          <w:sz w:val="24"/>
        </w:rPr>
        <w:t>）参与分配清算后的剩余基金财产；</w:t>
      </w:r>
    </w:p>
    <w:p w14:paraId="48A7DF6E" w14:textId="77777777" w:rsidR="007C736D" w:rsidRDefault="00662CFB">
      <w:pPr>
        <w:spacing w:line="360" w:lineRule="auto"/>
        <w:ind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0642C46E" w14:textId="77777777" w:rsidR="007C736D" w:rsidRDefault="00662CFB">
      <w:pPr>
        <w:spacing w:line="360" w:lineRule="auto"/>
        <w:ind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79B2BB68" w14:textId="77777777" w:rsidR="007C736D" w:rsidRDefault="00662CFB">
      <w:pPr>
        <w:spacing w:line="360" w:lineRule="auto"/>
        <w:ind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04E896DE" w14:textId="77777777" w:rsidR="007C736D" w:rsidRDefault="00662CFB">
      <w:pPr>
        <w:spacing w:line="360" w:lineRule="auto"/>
        <w:ind w:firstLine="480"/>
        <w:rPr>
          <w:bCs/>
          <w:sz w:val="24"/>
        </w:rPr>
      </w:pPr>
      <w:r>
        <w:rPr>
          <w:bCs/>
          <w:sz w:val="24"/>
        </w:rPr>
        <w:t>（</w:t>
      </w:r>
      <w:r>
        <w:rPr>
          <w:bCs/>
          <w:sz w:val="24"/>
        </w:rPr>
        <w:t>6</w:t>
      </w:r>
      <w:r>
        <w:rPr>
          <w:bCs/>
          <w:sz w:val="24"/>
        </w:rPr>
        <w:t>）查阅或者复制公开披露的基金信息资料；</w:t>
      </w:r>
    </w:p>
    <w:p w14:paraId="15C299ED" w14:textId="77777777" w:rsidR="007C736D" w:rsidRDefault="00662CFB">
      <w:pPr>
        <w:spacing w:line="360" w:lineRule="auto"/>
        <w:ind w:firstLine="480"/>
        <w:rPr>
          <w:bCs/>
          <w:sz w:val="24"/>
        </w:rPr>
      </w:pPr>
      <w:r>
        <w:rPr>
          <w:bCs/>
          <w:sz w:val="24"/>
        </w:rPr>
        <w:t>（</w:t>
      </w:r>
      <w:r>
        <w:rPr>
          <w:bCs/>
          <w:sz w:val="24"/>
        </w:rPr>
        <w:t>7</w:t>
      </w:r>
      <w:r>
        <w:rPr>
          <w:bCs/>
          <w:sz w:val="24"/>
        </w:rPr>
        <w:t>）监督基金管理人的投资运作；</w:t>
      </w:r>
    </w:p>
    <w:p w14:paraId="443AA6E7" w14:textId="77777777" w:rsidR="007C736D" w:rsidRDefault="00662CFB">
      <w:pPr>
        <w:spacing w:line="360" w:lineRule="auto"/>
        <w:ind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3EB756CA" w14:textId="77777777" w:rsidR="007C736D" w:rsidRDefault="00662CFB">
      <w:pPr>
        <w:spacing w:line="360" w:lineRule="auto"/>
        <w:ind w:firstLine="480"/>
        <w:rPr>
          <w:bCs/>
          <w:sz w:val="24"/>
        </w:rPr>
      </w:pPr>
      <w:r>
        <w:rPr>
          <w:bCs/>
          <w:sz w:val="24"/>
        </w:rPr>
        <w:t>（</w:t>
      </w:r>
      <w:r>
        <w:rPr>
          <w:bCs/>
          <w:sz w:val="24"/>
        </w:rPr>
        <w:t>9</w:t>
      </w:r>
      <w:r>
        <w:rPr>
          <w:bCs/>
          <w:sz w:val="24"/>
        </w:rPr>
        <w:t>）法律法规及中国证监会规定的和《基金合同》约定</w:t>
      </w:r>
      <w:r>
        <w:rPr>
          <w:bCs/>
          <w:sz w:val="24"/>
        </w:rPr>
        <w:t>的其他权利。</w:t>
      </w:r>
    </w:p>
    <w:p w14:paraId="14133F8B" w14:textId="77777777" w:rsidR="007C736D" w:rsidRDefault="00662CFB">
      <w:pPr>
        <w:spacing w:line="360" w:lineRule="auto"/>
        <w:ind w:firstLine="480"/>
        <w:rPr>
          <w:bCs/>
          <w:sz w:val="24"/>
        </w:rPr>
      </w:pPr>
      <w:r>
        <w:rPr>
          <w:bCs/>
          <w:sz w:val="24"/>
        </w:rPr>
        <w:t>2</w:t>
      </w:r>
      <w:r>
        <w:rPr>
          <w:bCs/>
          <w:sz w:val="24"/>
        </w:rPr>
        <w:t>、根据《基金法》、《运作办法》及其他有关规定，基金份额持有人的义务包括但不限于：</w:t>
      </w:r>
    </w:p>
    <w:p w14:paraId="05132AEA" w14:textId="77777777" w:rsidR="007C736D" w:rsidRDefault="00662CFB">
      <w:pPr>
        <w:spacing w:line="360" w:lineRule="auto"/>
        <w:ind w:firstLine="480"/>
        <w:rPr>
          <w:bCs/>
          <w:sz w:val="24"/>
        </w:rPr>
      </w:pPr>
      <w:r>
        <w:rPr>
          <w:bCs/>
          <w:sz w:val="24"/>
        </w:rPr>
        <w:t>（</w:t>
      </w:r>
      <w:r>
        <w:rPr>
          <w:bCs/>
          <w:sz w:val="24"/>
        </w:rPr>
        <w:t>1</w:t>
      </w:r>
      <w:r>
        <w:rPr>
          <w:bCs/>
          <w:sz w:val="24"/>
        </w:rPr>
        <w:t>）认真阅读并遵守《基金合同》</w:t>
      </w:r>
      <w:r>
        <w:rPr>
          <w:rFonts w:hint="eastAsia"/>
          <w:bCs/>
          <w:sz w:val="24"/>
        </w:rPr>
        <w:t>、招募说明书、基金产品资料概要等信息披露文件</w:t>
      </w:r>
      <w:r>
        <w:rPr>
          <w:bCs/>
          <w:sz w:val="24"/>
        </w:rPr>
        <w:t>；</w:t>
      </w:r>
    </w:p>
    <w:p w14:paraId="6EBFA243" w14:textId="77777777" w:rsidR="007C736D" w:rsidRDefault="00662CFB">
      <w:pPr>
        <w:spacing w:line="360" w:lineRule="auto"/>
        <w:ind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w:t>
      </w:r>
      <w:r>
        <w:rPr>
          <w:rFonts w:hint="eastAsia"/>
          <w:bCs/>
          <w:sz w:val="24"/>
        </w:rPr>
        <w:lastRenderedPageBreak/>
        <w:t>价值，自主做出投资决策，</w:t>
      </w:r>
      <w:r>
        <w:rPr>
          <w:bCs/>
          <w:sz w:val="24"/>
        </w:rPr>
        <w:t>自行承担投资风险；</w:t>
      </w:r>
    </w:p>
    <w:p w14:paraId="16B31448" w14:textId="77777777" w:rsidR="007C736D" w:rsidRDefault="00662CFB">
      <w:pPr>
        <w:spacing w:line="360" w:lineRule="auto"/>
        <w:ind w:firstLine="480"/>
        <w:rPr>
          <w:bCs/>
          <w:sz w:val="24"/>
        </w:rPr>
      </w:pPr>
      <w:r>
        <w:rPr>
          <w:bCs/>
          <w:sz w:val="24"/>
        </w:rPr>
        <w:t>（</w:t>
      </w:r>
      <w:r>
        <w:rPr>
          <w:bCs/>
          <w:sz w:val="24"/>
        </w:rPr>
        <w:t>3</w:t>
      </w:r>
      <w:r>
        <w:rPr>
          <w:bCs/>
          <w:sz w:val="24"/>
        </w:rPr>
        <w:t>）关注基金信息披露，及时行使权利和履行义务；</w:t>
      </w:r>
    </w:p>
    <w:p w14:paraId="6C9CB5CE" w14:textId="77777777" w:rsidR="007C736D" w:rsidRDefault="00662CFB">
      <w:pPr>
        <w:spacing w:line="360" w:lineRule="auto"/>
        <w:ind w:firstLine="480"/>
        <w:rPr>
          <w:bCs/>
          <w:sz w:val="24"/>
        </w:rPr>
      </w:pPr>
      <w:r>
        <w:rPr>
          <w:bCs/>
          <w:sz w:val="24"/>
        </w:rPr>
        <w:t>（</w:t>
      </w:r>
      <w:r>
        <w:rPr>
          <w:bCs/>
          <w:sz w:val="24"/>
        </w:rPr>
        <w:t>4</w:t>
      </w:r>
      <w:r>
        <w:rPr>
          <w:bCs/>
          <w:sz w:val="24"/>
        </w:rPr>
        <w:t>）交纳基金认购、申购款项及法律法规和《基金合同》所规定的费用；</w:t>
      </w:r>
    </w:p>
    <w:p w14:paraId="5A357BD2" w14:textId="77777777" w:rsidR="007C736D" w:rsidRDefault="00662CFB">
      <w:pPr>
        <w:spacing w:line="360" w:lineRule="auto"/>
        <w:ind w:firstLine="480"/>
        <w:rPr>
          <w:bCs/>
          <w:sz w:val="24"/>
        </w:rPr>
      </w:pPr>
      <w:r>
        <w:rPr>
          <w:bCs/>
          <w:sz w:val="24"/>
        </w:rPr>
        <w:t>（</w:t>
      </w:r>
      <w:r>
        <w:rPr>
          <w:bCs/>
          <w:sz w:val="24"/>
        </w:rPr>
        <w:t>5</w:t>
      </w:r>
      <w:r>
        <w:rPr>
          <w:bCs/>
          <w:sz w:val="24"/>
        </w:rPr>
        <w:t>）在其持有的基金份额范围内，承担基金亏损或者《基金合同》终止的有限责任；</w:t>
      </w:r>
    </w:p>
    <w:p w14:paraId="54648C5B" w14:textId="77777777" w:rsidR="007C736D" w:rsidRDefault="00662CFB">
      <w:pPr>
        <w:spacing w:line="360" w:lineRule="auto"/>
        <w:ind w:firstLine="480"/>
        <w:rPr>
          <w:bCs/>
          <w:sz w:val="24"/>
        </w:rPr>
      </w:pPr>
      <w:r>
        <w:rPr>
          <w:bCs/>
          <w:sz w:val="24"/>
        </w:rPr>
        <w:t>（</w:t>
      </w:r>
      <w:r>
        <w:rPr>
          <w:bCs/>
          <w:sz w:val="24"/>
        </w:rPr>
        <w:t>6</w:t>
      </w:r>
      <w:r>
        <w:rPr>
          <w:bCs/>
          <w:sz w:val="24"/>
        </w:rPr>
        <w:t>）不从事任何有损基金及其他《基金合同》当事人合法权益的活动；</w:t>
      </w:r>
    </w:p>
    <w:p w14:paraId="708E413F" w14:textId="77777777" w:rsidR="007C736D" w:rsidRDefault="00662CFB">
      <w:pPr>
        <w:spacing w:line="360" w:lineRule="auto"/>
        <w:ind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14:paraId="3975F8A0" w14:textId="77777777" w:rsidR="007C736D" w:rsidRDefault="00662CFB">
      <w:pPr>
        <w:spacing w:line="360" w:lineRule="auto"/>
        <w:ind w:firstLine="480"/>
        <w:rPr>
          <w:bCs/>
          <w:sz w:val="24"/>
        </w:rPr>
      </w:pPr>
      <w:r>
        <w:rPr>
          <w:bCs/>
          <w:sz w:val="24"/>
        </w:rPr>
        <w:t>（</w:t>
      </w:r>
      <w:r>
        <w:rPr>
          <w:bCs/>
          <w:sz w:val="24"/>
        </w:rPr>
        <w:t>8</w:t>
      </w:r>
      <w:r>
        <w:rPr>
          <w:bCs/>
          <w:sz w:val="24"/>
        </w:rPr>
        <w:t>）返还在基金交易过程中因任何原因获得的不当得利；</w:t>
      </w:r>
    </w:p>
    <w:p w14:paraId="7290317F" w14:textId="77777777" w:rsidR="007C736D" w:rsidRDefault="00662CFB">
      <w:pPr>
        <w:spacing w:line="360" w:lineRule="auto"/>
        <w:ind w:firstLineChars="200" w:firstLine="480"/>
        <w:rPr>
          <w:bCs/>
          <w:sz w:val="24"/>
        </w:rPr>
      </w:pPr>
      <w:r>
        <w:rPr>
          <w:rFonts w:hint="eastAsia"/>
          <w:bCs/>
          <w:sz w:val="24"/>
        </w:rPr>
        <w:t>（</w:t>
      </w:r>
      <w:r>
        <w:rPr>
          <w:bCs/>
          <w:sz w:val="24"/>
        </w:rPr>
        <w:t>9</w:t>
      </w:r>
      <w:r>
        <w:rPr>
          <w:rFonts w:hint="eastAsia"/>
          <w:bCs/>
          <w:sz w:val="24"/>
        </w:rPr>
        <w:t>）</w:t>
      </w:r>
      <w:r>
        <w:rPr>
          <w:bCs/>
          <w:sz w:val="24"/>
        </w:rPr>
        <w:t>法律法规及中国证监会规定的和《基金合同》约定的其他义务。</w:t>
      </w:r>
    </w:p>
    <w:p w14:paraId="4A453A93" w14:textId="77777777" w:rsidR="007C736D" w:rsidRDefault="00662CFB">
      <w:pPr>
        <w:spacing w:line="360" w:lineRule="auto"/>
        <w:ind w:firstLine="480"/>
        <w:rPr>
          <w:rFonts w:ascii="宋体" w:eastAsia="宋体" w:hAnsi="宋体"/>
          <w:sz w:val="24"/>
          <w:lang w:bidi="en-US"/>
        </w:rPr>
      </w:pPr>
      <w:r>
        <w:rPr>
          <w:rFonts w:ascii="宋体" w:hAnsi="宋体" w:hint="eastAsia"/>
          <w:sz w:val="24"/>
        </w:rPr>
        <w:t>二、基金份额持有人大会召集、议事及表决的程序和规则</w:t>
      </w:r>
    </w:p>
    <w:p w14:paraId="090FD0D7" w14:textId="77777777" w:rsidR="007C736D" w:rsidRDefault="00662CFB">
      <w:pPr>
        <w:spacing w:line="360" w:lineRule="auto"/>
        <w:ind w:firstLine="480"/>
        <w:rPr>
          <w:bCs/>
          <w:sz w:val="24"/>
        </w:rPr>
      </w:pPr>
      <w:r>
        <w:rPr>
          <w:rFonts w:hint="eastAsia"/>
          <w:bCs/>
          <w:sz w:val="24"/>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若将来法律法规对基金份额持有人大会另有规定的，以届时有效的法律法规为准。</w:t>
      </w:r>
    </w:p>
    <w:p w14:paraId="3EF4AFFF" w14:textId="77777777" w:rsidR="007C736D" w:rsidRDefault="00662CFB">
      <w:pPr>
        <w:spacing w:line="360" w:lineRule="auto"/>
        <w:ind w:firstLine="480"/>
        <w:rPr>
          <w:bCs/>
          <w:sz w:val="24"/>
        </w:rPr>
      </w:pPr>
      <w:r>
        <w:rPr>
          <w:rFonts w:hint="eastAsia"/>
          <w:bCs/>
          <w:sz w:val="24"/>
        </w:rPr>
        <w:t>本基金份额持有人大会不设日常机构。在本基金存续期内，根据本基金的运作需要，基金份额持有人大会可以增设日常机构，日常机构的设立与运作应当根据相关法律法规和中国证监会的规定进行。</w:t>
      </w:r>
    </w:p>
    <w:p w14:paraId="330B151C" w14:textId="77777777" w:rsidR="007C736D" w:rsidRDefault="00662CFB">
      <w:pPr>
        <w:spacing w:line="360" w:lineRule="auto"/>
        <w:ind w:firstLine="480"/>
        <w:rPr>
          <w:bCs/>
          <w:sz w:val="24"/>
        </w:rPr>
      </w:pPr>
      <w:r>
        <w:rPr>
          <w:rFonts w:hint="eastAsia"/>
          <w:bCs/>
          <w:sz w:val="24"/>
        </w:rPr>
        <w:t>（一）召开事由</w:t>
      </w:r>
    </w:p>
    <w:p w14:paraId="1FB93041" w14:textId="77777777" w:rsidR="007C736D" w:rsidRDefault="00662CFB">
      <w:pPr>
        <w:spacing w:line="360" w:lineRule="auto"/>
        <w:ind w:firstLine="480"/>
        <w:rPr>
          <w:bCs/>
          <w:sz w:val="24"/>
        </w:rPr>
      </w:pPr>
      <w:r>
        <w:rPr>
          <w:rFonts w:hint="eastAsia"/>
          <w:bCs/>
          <w:sz w:val="24"/>
        </w:rPr>
        <w:t>1</w:t>
      </w:r>
      <w:r>
        <w:rPr>
          <w:rFonts w:hint="eastAsia"/>
          <w:bCs/>
          <w:sz w:val="24"/>
        </w:rPr>
        <w:t>、除法律法规、监管机构另有规定或基金合同另有约定</w:t>
      </w:r>
      <w:r>
        <w:rPr>
          <w:rFonts w:hint="eastAsia"/>
          <w:bCs/>
          <w:sz w:val="24"/>
        </w:rPr>
        <w:t>的，当出现或需要决定下列事由之一的，应当召开基金份额持有人大会：</w:t>
      </w:r>
    </w:p>
    <w:p w14:paraId="79F9C0B7" w14:textId="77777777" w:rsidR="007C736D" w:rsidRDefault="00662CFB">
      <w:pPr>
        <w:spacing w:line="360" w:lineRule="auto"/>
        <w:ind w:firstLine="480"/>
        <w:rPr>
          <w:bCs/>
          <w:sz w:val="24"/>
        </w:rPr>
      </w:pPr>
      <w:r>
        <w:rPr>
          <w:rFonts w:hint="eastAsia"/>
          <w:bCs/>
          <w:sz w:val="24"/>
        </w:rPr>
        <w:t>（</w:t>
      </w:r>
      <w:r>
        <w:rPr>
          <w:rFonts w:hint="eastAsia"/>
          <w:bCs/>
          <w:sz w:val="24"/>
        </w:rPr>
        <w:t>1</w:t>
      </w:r>
      <w:r>
        <w:rPr>
          <w:rFonts w:hint="eastAsia"/>
          <w:bCs/>
          <w:sz w:val="24"/>
        </w:rPr>
        <w:t>）终止《基金合同》；</w:t>
      </w:r>
    </w:p>
    <w:p w14:paraId="0A2C14BD" w14:textId="77777777" w:rsidR="007C736D" w:rsidRDefault="00662CFB">
      <w:pPr>
        <w:spacing w:line="360" w:lineRule="auto"/>
        <w:ind w:firstLine="480"/>
        <w:rPr>
          <w:bCs/>
          <w:sz w:val="24"/>
        </w:rPr>
      </w:pPr>
      <w:r>
        <w:rPr>
          <w:rFonts w:hint="eastAsia"/>
          <w:bCs/>
          <w:sz w:val="24"/>
        </w:rPr>
        <w:t>（</w:t>
      </w:r>
      <w:r>
        <w:rPr>
          <w:rFonts w:hint="eastAsia"/>
          <w:bCs/>
          <w:sz w:val="24"/>
        </w:rPr>
        <w:t>2</w:t>
      </w:r>
      <w:r>
        <w:rPr>
          <w:rFonts w:hint="eastAsia"/>
          <w:bCs/>
          <w:sz w:val="24"/>
        </w:rPr>
        <w:t>）更换基金管理人；</w:t>
      </w:r>
    </w:p>
    <w:p w14:paraId="719A478F" w14:textId="77777777" w:rsidR="007C736D" w:rsidRDefault="00662CFB">
      <w:pPr>
        <w:spacing w:line="360" w:lineRule="auto"/>
        <w:ind w:firstLine="480"/>
        <w:rPr>
          <w:bCs/>
          <w:sz w:val="24"/>
        </w:rPr>
      </w:pPr>
      <w:r>
        <w:rPr>
          <w:rFonts w:hint="eastAsia"/>
          <w:bCs/>
          <w:sz w:val="24"/>
        </w:rPr>
        <w:t>（</w:t>
      </w:r>
      <w:r>
        <w:rPr>
          <w:rFonts w:hint="eastAsia"/>
          <w:bCs/>
          <w:sz w:val="24"/>
        </w:rPr>
        <w:t>3</w:t>
      </w:r>
      <w:r>
        <w:rPr>
          <w:rFonts w:hint="eastAsia"/>
          <w:bCs/>
          <w:sz w:val="24"/>
        </w:rPr>
        <w:t>）更换基金托管人；</w:t>
      </w:r>
    </w:p>
    <w:p w14:paraId="0E2405F0" w14:textId="77777777" w:rsidR="007C736D" w:rsidRDefault="00662CFB">
      <w:pPr>
        <w:spacing w:line="360" w:lineRule="auto"/>
        <w:ind w:firstLine="480"/>
        <w:rPr>
          <w:bCs/>
          <w:sz w:val="24"/>
        </w:rPr>
      </w:pPr>
      <w:r>
        <w:rPr>
          <w:rFonts w:hint="eastAsia"/>
          <w:bCs/>
          <w:sz w:val="24"/>
        </w:rPr>
        <w:t>（</w:t>
      </w:r>
      <w:r>
        <w:rPr>
          <w:rFonts w:hint="eastAsia"/>
          <w:bCs/>
          <w:sz w:val="24"/>
        </w:rPr>
        <w:t>4</w:t>
      </w:r>
      <w:r>
        <w:rPr>
          <w:rFonts w:hint="eastAsia"/>
          <w:bCs/>
          <w:sz w:val="24"/>
        </w:rPr>
        <w:t>）转换基金运作方式；</w:t>
      </w:r>
    </w:p>
    <w:p w14:paraId="7829BFC6" w14:textId="77777777" w:rsidR="007C736D" w:rsidRDefault="00662CFB">
      <w:pPr>
        <w:spacing w:line="360" w:lineRule="auto"/>
        <w:ind w:firstLine="480"/>
        <w:rPr>
          <w:bCs/>
          <w:sz w:val="24"/>
        </w:rPr>
      </w:pPr>
      <w:r>
        <w:rPr>
          <w:rFonts w:hint="eastAsia"/>
          <w:bCs/>
          <w:sz w:val="24"/>
        </w:rPr>
        <w:t>（</w:t>
      </w:r>
      <w:r>
        <w:rPr>
          <w:rFonts w:hint="eastAsia"/>
          <w:bCs/>
          <w:sz w:val="24"/>
        </w:rPr>
        <w:t>5</w:t>
      </w:r>
      <w:r>
        <w:rPr>
          <w:rFonts w:hint="eastAsia"/>
          <w:bCs/>
          <w:sz w:val="24"/>
        </w:rPr>
        <w:t>）调整基金管理人、基金托管人的报酬标准或提高销售服务费率；</w:t>
      </w:r>
    </w:p>
    <w:p w14:paraId="00222850" w14:textId="77777777" w:rsidR="007C736D" w:rsidRDefault="00662CFB">
      <w:pPr>
        <w:spacing w:line="360" w:lineRule="auto"/>
        <w:ind w:firstLine="480"/>
        <w:rPr>
          <w:bCs/>
          <w:sz w:val="24"/>
        </w:rPr>
      </w:pPr>
      <w:r>
        <w:rPr>
          <w:rFonts w:hint="eastAsia"/>
          <w:bCs/>
          <w:sz w:val="24"/>
        </w:rPr>
        <w:t>（</w:t>
      </w:r>
      <w:r>
        <w:rPr>
          <w:rFonts w:hint="eastAsia"/>
          <w:bCs/>
          <w:sz w:val="24"/>
        </w:rPr>
        <w:t>6</w:t>
      </w:r>
      <w:r>
        <w:rPr>
          <w:rFonts w:hint="eastAsia"/>
          <w:bCs/>
          <w:sz w:val="24"/>
        </w:rPr>
        <w:t>）变更基金类别；</w:t>
      </w:r>
    </w:p>
    <w:p w14:paraId="36E6836C" w14:textId="77777777" w:rsidR="007C736D" w:rsidRDefault="00662CFB">
      <w:pPr>
        <w:spacing w:line="360" w:lineRule="auto"/>
        <w:ind w:firstLine="480"/>
        <w:rPr>
          <w:bCs/>
          <w:sz w:val="24"/>
        </w:rPr>
      </w:pPr>
      <w:r>
        <w:rPr>
          <w:rFonts w:hint="eastAsia"/>
          <w:bCs/>
          <w:sz w:val="24"/>
        </w:rPr>
        <w:t>（</w:t>
      </w:r>
      <w:r>
        <w:rPr>
          <w:rFonts w:hint="eastAsia"/>
          <w:bCs/>
          <w:sz w:val="24"/>
        </w:rPr>
        <w:t>7</w:t>
      </w:r>
      <w:r>
        <w:rPr>
          <w:rFonts w:hint="eastAsia"/>
          <w:bCs/>
          <w:sz w:val="24"/>
        </w:rPr>
        <w:t>）本基金与其他基金的合并；</w:t>
      </w:r>
    </w:p>
    <w:p w14:paraId="2B2C8532" w14:textId="77777777" w:rsidR="007C736D" w:rsidRDefault="00662CFB">
      <w:pPr>
        <w:spacing w:line="360" w:lineRule="auto"/>
        <w:ind w:firstLine="480"/>
        <w:rPr>
          <w:bCs/>
          <w:sz w:val="24"/>
        </w:rPr>
      </w:pPr>
      <w:r>
        <w:rPr>
          <w:rFonts w:hint="eastAsia"/>
          <w:bCs/>
          <w:sz w:val="24"/>
        </w:rPr>
        <w:t>（</w:t>
      </w:r>
      <w:r>
        <w:rPr>
          <w:rFonts w:hint="eastAsia"/>
          <w:bCs/>
          <w:sz w:val="24"/>
        </w:rPr>
        <w:t>8</w:t>
      </w:r>
      <w:r>
        <w:rPr>
          <w:rFonts w:hint="eastAsia"/>
          <w:bCs/>
          <w:sz w:val="24"/>
        </w:rPr>
        <w:t>）变更基金投资目标、范围或策略；</w:t>
      </w:r>
    </w:p>
    <w:p w14:paraId="541E92BD" w14:textId="77777777" w:rsidR="007C736D" w:rsidRDefault="00662CFB">
      <w:pPr>
        <w:spacing w:line="360" w:lineRule="auto"/>
        <w:ind w:firstLine="480"/>
        <w:rPr>
          <w:bCs/>
          <w:sz w:val="24"/>
        </w:rPr>
      </w:pPr>
      <w:r>
        <w:rPr>
          <w:rFonts w:hint="eastAsia"/>
          <w:bCs/>
          <w:sz w:val="24"/>
        </w:rPr>
        <w:t>（</w:t>
      </w:r>
      <w:r>
        <w:rPr>
          <w:rFonts w:hint="eastAsia"/>
          <w:bCs/>
          <w:sz w:val="24"/>
        </w:rPr>
        <w:t>9</w:t>
      </w:r>
      <w:r>
        <w:rPr>
          <w:rFonts w:hint="eastAsia"/>
          <w:bCs/>
          <w:sz w:val="24"/>
        </w:rPr>
        <w:t>）变更基金份额持有人大会程序；</w:t>
      </w:r>
    </w:p>
    <w:p w14:paraId="52EBC26D" w14:textId="77777777" w:rsidR="007C736D" w:rsidRDefault="00662CFB">
      <w:pPr>
        <w:spacing w:line="360" w:lineRule="auto"/>
        <w:ind w:firstLine="480"/>
        <w:rPr>
          <w:bCs/>
          <w:sz w:val="24"/>
        </w:rPr>
      </w:pPr>
      <w:r>
        <w:rPr>
          <w:rFonts w:hint="eastAsia"/>
          <w:bCs/>
          <w:sz w:val="24"/>
        </w:rPr>
        <w:lastRenderedPageBreak/>
        <w:t>（</w:t>
      </w:r>
      <w:r>
        <w:rPr>
          <w:rFonts w:hint="eastAsia"/>
          <w:bCs/>
          <w:sz w:val="24"/>
        </w:rPr>
        <w:t>10</w:t>
      </w:r>
      <w:r>
        <w:rPr>
          <w:rFonts w:hint="eastAsia"/>
          <w:bCs/>
          <w:sz w:val="24"/>
        </w:rPr>
        <w:t>）基金管理人或基金托管人要求召开基金份额持有人大会；</w:t>
      </w:r>
    </w:p>
    <w:p w14:paraId="7E212C5E" w14:textId="77777777" w:rsidR="007C736D" w:rsidRDefault="00662CFB">
      <w:pPr>
        <w:spacing w:line="360" w:lineRule="auto"/>
        <w:ind w:firstLine="480"/>
        <w:rPr>
          <w:bCs/>
          <w:sz w:val="24"/>
        </w:rPr>
      </w:pPr>
      <w:r>
        <w:rPr>
          <w:rFonts w:hint="eastAsia"/>
          <w:bCs/>
          <w:sz w:val="24"/>
        </w:rPr>
        <w:t>（</w:t>
      </w:r>
      <w:r>
        <w:rPr>
          <w:rFonts w:hint="eastAsia"/>
          <w:bCs/>
          <w:sz w:val="24"/>
        </w:rPr>
        <w:t>11</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w:t>
      </w:r>
      <w:r>
        <w:rPr>
          <w:rFonts w:hint="eastAsia"/>
          <w:bCs/>
          <w:sz w:val="24"/>
        </w:rPr>
        <w:t>收到提议当日的基金份额计算，下同）就同一事项书面要求召开基金份额持有人大会；</w:t>
      </w:r>
    </w:p>
    <w:p w14:paraId="2AD6FB52" w14:textId="77777777" w:rsidR="007C736D" w:rsidRDefault="00662CFB">
      <w:pPr>
        <w:spacing w:line="360" w:lineRule="auto"/>
        <w:ind w:firstLine="480"/>
        <w:rPr>
          <w:bCs/>
          <w:sz w:val="24"/>
        </w:rPr>
      </w:pPr>
      <w:r>
        <w:rPr>
          <w:rFonts w:hint="eastAsia"/>
          <w:bCs/>
          <w:sz w:val="24"/>
        </w:rPr>
        <w:t>（</w:t>
      </w:r>
      <w:r>
        <w:rPr>
          <w:rFonts w:hint="eastAsia"/>
          <w:bCs/>
          <w:sz w:val="24"/>
        </w:rPr>
        <w:t>12</w:t>
      </w:r>
      <w:r>
        <w:rPr>
          <w:rFonts w:hint="eastAsia"/>
          <w:bCs/>
          <w:sz w:val="24"/>
        </w:rPr>
        <w:t>）对基金合同当事人权利和义务产生重大影响的其他事项；</w:t>
      </w:r>
    </w:p>
    <w:p w14:paraId="64110C5C" w14:textId="77777777" w:rsidR="007C736D" w:rsidRDefault="00662CFB">
      <w:pPr>
        <w:spacing w:line="360" w:lineRule="auto"/>
        <w:ind w:firstLine="480"/>
        <w:rPr>
          <w:bCs/>
          <w:sz w:val="24"/>
        </w:rPr>
      </w:pPr>
      <w:r>
        <w:rPr>
          <w:rFonts w:hint="eastAsia"/>
          <w:bCs/>
          <w:sz w:val="24"/>
        </w:rPr>
        <w:t>（</w:t>
      </w:r>
      <w:r>
        <w:rPr>
          <w:rFonts w:hint="eastAsia"/>
          <w:bCs/>
          <w:sz w:val="24"/>
        </w:rPr>
        <w:t>13</w:t>
      </w:r>
      <w:r>
        <w:rPr>
          <w:rFonts w:hint="eastAsia"/>
          <w:bCs/>
          <w:sz w:val="24"/>
        </w:rPr>
        <w:t>）法律法规、《基金合同》或中国证监会规定的其他应当召开基金份额持有人大会的事项。</w:t>
      </w:r>
    </w:p>
    <w:p w14:paraId="070A8D0E" w14:textId="77777777" w:rsidR="007C736D" w:rsidRDefault="00662CFB">
      <w:pPr>
        <w:spacing w:line="360" w:lineRule="auto"/>
        <w:ind w:firstLine="480"/>
        <w:rPr>
          <w:bCs/>
          <w:sz w:val="24"/>
        </w:rPr>
      </w:pPr>
      <w:r>
        <w:rPr>
          <w:rFonts w:hint="eastAsia"/>
          <w:bCs/>
          <w:sz w:val="24"/>
        </w:rPr>
        <w:t>2</w:t>
      </w:r>
      <w:r>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2CF1A7B5" w14:textId="77777777" w:rsidR="007C736D" w:rsidRDefault="00662CFB">
      <w:pPr>
        <w:spacing w:line="360" w:lineRule="auto"/>
        <w:ind w:firstLine="480"/>
        <w:rPr>
          <w:bCs/>
          <w:sz w:val="24"/>
        </w:rPr>
      </w:pPr>
      <w:r>
        <w:rPr>
          <w:rFonts w:hint="eastAsia"/>
          <w:bCs/>
          <w:sz w:val="24"/>
        </w:rPr>
        <w:t>（</w:t>
      </w:r>
      <w:r>
        <w:rPr>
          <w:rFonts w:hint="eastAsia"/>
          <w:bCs/>
          <w:sz w:val="24"/>
        </w:rPr>
        <w:t>1</w:t>
      </w:r>
      <w:r>
        <w:rPr>
          <w:rFonts w:hint="eastAsia"/>
          <w:bCs/>
          <w:sz w:val="24"/>
        </w:rPr>
        <w:t>）法律法规要求增加的基金费用的收取；</w:t>
      </w:r>
    </w:p>
    <w:p w14:paraId="157A375B" w14:textId="5B18F9EC" w:rsidR="007C736D" w:rsidRDefault="00662CFB">
      <w:pPr>
        <w:spacing w:line="360" w:lineRule="auto"/>
        <w:ind w:firstLine="480"/>
        <w:rPr>
          <w:bCs/>
          <w:sz w:val="24"/>
        </w:rPr>
      </w:pPr>
      <w:r>
        <w:rPr>
          <w:rFonts w:hint="eastAsia"/>
          <w:bCs/>
          <w:sz w:val="24"/>
        </w:rPr>
        <w:t>（</w:t>
      </w:r>
      <w:r>
        <w:rPr>
          <w:rFonts w:hint="eastAsia"/>
          <w:bCs/>
          <w:sz w:val="24"/>
        </w:rPr>
        <w:t>2</w:t>
      </w:r>
      <w:r>
        <w:rPr>
          <w:rFonts w:hint="eastAsia"/>
          <w:bCs/>
          <w:sz w:val="24"/>
        </w:rPr>
        <w:t>）调整本基金的申购费率、</w:t>
      </w:r>
      <w:r>
        <w:rPr>
          <w:rFonts w:hint="eastAsia"/>
          <w:bCs/>
          <w:sz w:val="24"/>
        </w:rPr>
        <w:t>调低销售服务费率或变更收费方式或调整基金份额类别设置、对基金份额分类办法及规则进行调整；</w:t>
      </w:r>
    </w:p>
    <w:p w14:paraId="62433D61" w14:textId="77777777" w:rsidR="007C736D" w:rsidRDefault="00662CFB">
      <w:pPr>
        <w:spacing w:line="360" w:lineRule="auto"/>
        <w:ind w:firstLine="480"/>
        <w:rPr>
          <w:bCs/>
          <w:sz w:val="24"/>
        </w:rPr>
      </w:pPr>
      <w:r>
        <w:rPr>
          <w:rFonts w:hint="eastAsia"/>
          <w:bCs/>
          <w:sz w:val="24"/>
        </w:rPr>
        <w:t>（</w:t>
      </w:r>
      <w:r>
        <w:rPr>
          <w:rFonts w:hint="eastAsia"/>
          <w:bCs/>
          <w:sz w:val="24"/>
        </w:rPr>
        <w:t>3</w:t>
      </w:r>
      <w:r>
        <w:rPr>
          <w:rFonts w:hint="eastAsia"/>
          <w:bCs/>
          <w:sz w:val="24"/>
        </w:rPr>
        <w:t>）因相应的法律法规发生变动而应当对《基金合同》进行修改；</w:t>
      </w:r>
    </w:p>
    <w:p w14:paraId="48B1EC3C" w14:textId="77777777" w:rsidR="007C736D" w:rsidRDefault="00662CFB">
      <w:pPr>
        <w:spacing w:line="360" w:lineRule="auto"/>
        <w:ind w:firstLine="480"/>
        <w:rPr>
          <w:bCs/>
          <w:sz w:val="24"/>
        </w:rPr>
      </w:pPr>
      <w:r>
        <w:rPr>
          <w:rFonts w:hint="eastAsia"/>
          <w:bCs/>
          <w:sz w:val="24"/>
        </w:rPr>
        <w:t>（</w:t>
      </w:r>
      <w:r>
        <w:rPr>
          <w:rFonts w:hint="eastAsia"/>
          <w:bCs/>
          <w:sz w:val="24"/>
        </w:rPr>
        <w:t>4</w:t>
      </w:r>
      <w:r>
        <w:rPr>
          <w:rFonts w:hint="eastAsia"/>
          <w:bCs/>
          <w:sz w:val="24"/>
        </w:rPr>
        <w:t>）对《基金合同》的修改对基金份额持有人利益无实质性不利影响或修改不涉及《基金合同》当事人权利义务关系发生重大变化；</w:t>
      </w:r>
    </w:p>
    <w:p w14:paraId="29279E66" w14:textId="77777777" w:rsidR="007C736D" w:rsidRDefault="00662CFB">
      <w:pPr>
        <w:spacing w:line="360" w:lineRule="auto"/>
        <w:ind w:firstLine="480"/>
        <w:rPr>
          <w:bCs/>
          <w:sz w:val="24"/>
        </w:rPr>
      </w:pPr>
      <w:r>
        <w:rPr>
          <w:rFonts w:hint="eastAsia"/>
          <w:bCs/>
          <w:sz w:val="24"/>
        </w:rPr>
        <w:t>（</w:t>
      </w:r>
      <w:r>
        <w:rPr>
          <w:rFonts w:hint="eastAsia"/>
          <w:bCs/>
          <w:sz w:val="24"/>
        </w:rPr>
        <w:t>5</w:t>
      </w:r>
      <w:r>
        <w:rPr>
          <w:rFonts w:hint="eastAsia"/>
          <w:bCs/>
          <w:sz w:val="24"/>
        </w:rPr>
        <w:t>）基金管理人、登记机构、基金销售机构调整有关认购、申购、赎回、转换、基金交易、非交易过户、转托管等业务规则；</w:t>
      </w:r>
    </w:p>
    <w:p w14:paraId="530CD10C" w14:textId="77777777" w:rsidR="007C736D" w:rsidRDefault="00662CFB">
      <w:pPr>
        <w:spacing w:line="360" w:lineRule="auto"/>
        <w:ind w:firstLine="480"/>
        <w:rPr>
          <w:bCs/>
          <w:sz w:val="24"/>
        </w:rPr>
      </w:pPr>
      <w:r>
        <w:rPr>
          <w:rFonts w:hint="eastAsia"/>
          <w:bCs/>
          <w:sz w:val="24"/>
        </w:rPr>
        <w:t>（</w:t>
      </w:r>
      <w:r>
        <w:rPr>
          <w:rFonts w:hint="eastAsia"/>
          <w:bCs/>
          <w:sz w:val="24"/>
        </w:rPr>
        <w:t>6</w:t>
      </w:r>
      <w:r>
        <w:rPr>
          <w:rFonts w:hint="eastAsia"/>
          <w:bCs/>
          <w:sz w:val="24"/>
        </w:rPr>
        <w:t>）基金管理人履行适当程序后，基金推出新业务或服务；</w:t>
      </w:r>
    </w:p>
    <w:p w14:paraId="7FCD93CB" w14:textId="77777777" w:rsidR="007C736D" w:rsidRDefault="00662CFB">
      <w:pPr>
        <w:spacing w:line="360" w:lineRule="auto"/>
        <w:ind w:firstLine="480"/>
        <w:rPr>
          <w:bCs/>
          <w:sz w:val="24"/>
        </w:rPr>
      </w:pPr>
      <w:r>
        <w:rPr>
          <w:rFonts w:hint="eastAsia"/>
          <w:bCs/>
          <w:sz w:val="24"/>
        </w:rPr>
        <w:t>（</w:t>
      </w:r>
      <w:r>
        <w:rPr>
          <w:rFonts w:hint="eastAsia"/>
          <w:bCs/>
          <w:sz w:val="24"/>
        </w:rPr>
        <w:t>7</w:t>
      </w:r>
      <w:r>
        <w:rPr>
          <w:rFonts w:hint="eastAsia"/>
          <w:bCs/>
          <w:sz w:val="24"/>
        </w:rPr>
        <w:t>）按照法律法规和《基金合同》规定不需召开基金份额持有人大会的其他情</w:t>
      </w:r>
      <w:r>
        <w:rPr>
          <w:rFonts w:hint="eastAsia"/>
          <w:bCs/>
          <w:sz w:val="24"/>
        </w:rPr>
        <w:t>形。</w:t>
      </w:r>
    </w:p>
    <w:p w14:paraId="330DF802" w14:textId="77777777" w:rsidR="007C736D" w:rsidRDefault="00662CFB">
      <w:pPr>
        <w:spacing w:line="360" w:lineRule="auto"/>
        <w:ind w:firstLine="480"/>
        <w:rPr>
          <w:bCs/>
          <w:sz w:val="24"/>
        </w:rPr>
      </w:pPr>
      <w:r>
        <w:rPr>
          <w:rFonts w:hint="eastAsia"/>
          <w:bCs/>
          <w:sz w:val="24"/>
        </w:rPr>
        <w:t>（二</w:t>
      </w:r>
      <w:r>
        <w:rPr>
          <w:bCs/>
          <w:sz w:val="24"/>
        </w:rPr>
        <w:t>)</w:t>
      </w:r>
      <w:r>
        <w:rPr>
          <w:rFonts w:hint="eastAsia"/>
          <w:bCs/>
          <w:sz w:val="24"/>
        </w:rPr>
        <w:t>会议召集人及召集方式</w:t>
      </w:r>
    </w:p>
    <w:p w14:paraId="4E899819" w14:textId="77777777" w:rsidR="007C736D" w:rsidRDefault="00662CFB">
      <w:pPr>
        <w:spacing w:line="360" w:lineRule="auto"/>
        <w:ind w:firstLine="480"/>
        <w:rPr>
          <w:bCs/>
          <w:sz w:val="24"/>
        </w:rPr>
      </w:pPr>
      <w:r>
        <w:rPr>
          <w:rFonts w:hint="eastAsia"/>
          <w:bCs/>
          <w:sz w:val="24"/>
        </w:rPr>
        <w:t>1</w:t>
      </w:r>
      <w:r>
        <w:rPr>
          <w:rFonts w:hint="eastAsia"/>
          <w:bCs/>
          <w:sz w:val="24"/>
        </w:rPr>
        <w:t>、除法律法规规定或《基金合同》另有约定外，基金份额持有人大会由基金管理人召集。</w:t>
      </w:r>
    </w:p>
    <w:p w14:paraId="29E3D60F" w14:textId="77777777" w:rsidR="007C736D" w:rsidRDefault="00662CFB">
      <w:pPr>
        <w:spacing w:line="360" w:lineRule="auto"/>
        <w:ind w:firstLine="480"/>
        <w:rPr>
          <w:bCs/>
          <w:sz w:val="24"/>
        </w:rPr>
      </w:pPr>
      <w:r>
        <w:rPr>
          <w:rFonts w:hint="eastAsia"/>
          <w:bCs/>
          <w:sz w:val="24"/>
        </w:rPr>
        <w:t>2</w:t>
      </w:r>
      <w:r>
        <w:rPr>
          <w:rFonts w:hint="eastAsia"/>
          <w:bCs/>
          <w:sz w:val="24"/>
        </w:rPr>
        <w:t>、基金管理人未按规定召集或不能召集时，由基金托管人召集。</w:t>
      </w:r>
    </w:p>
    <w:p w14:paraId="03EC45F6" w14:textId="77777777" w:rsidR="007C736D" w:rsidRDefault="00662CFB">
      <w:pPr>
        <w:spacing w:line="360" w:lineRule="auto"/>
        <w:ind w:firstLine="480"/>
        <w:rPr>
          <w:bCs/>
          <w:sz w:val="24"/>
        </w:rPr>
      </w:pP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w:t>
      </w:r>
      <w:r>
        <w:rPr>
          <w:rFonts w:hint="eastAsia"/>
          <w:bCs/>
          <w:sz w:val="24"/>
        </w:rPr>
        <w:lastRenderedPageBreak/>
        <w:t>由基金托管人自行召集，并自出具书面决定之日起</w:t>
      </w:r>
      <w:r>
        <w:rPr>
          <w:rFonts w:hint="eastAsia"/>
          <w:bCs/>
          <w:sz w:val="24"/>
        </w:rPr>
        <w:t>60</w:t>
      </w:r>
      <w:r>
        <w:rPr>
          <w:rFonts w:hint="eastAsia"/>
          <w:bCs/>
          <w:sz w:val="24"/>
        </w:rPr>
        <w:t>日内召开并告知</w:t>
      </w:r>
      <w:r>
        <w:rPr>
          <w:rFonts w:hint="eastAsia"/>
          <w:bCs/>
          <w:sz w:val="24"/>
        </w:rPr>
        <w:t>基金管理人，基金管理人应当配合。</w:t>
      </w:r>
    </w:p>
    <w:p w14:paraId="49BCC598" w14:textId="77777777" w:rsidR="007C736D" w:rsidRDefault="00662CFB">
      <w:pPr>
        <w:spacing w:line="360" w:lineRule="auto"/>
        <w:ind w:firstLine="480"/>
        <w:rPr>
          <w:bCs/>
          <w:sz w:val="24"/>
        </w:rPr>
      </w:pP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w:t>
      </w:r>
      <w:r>
        <w:rPr>
          <w:rFonts w:hint="eastAsia"/>
          <w:bCs/>
          <w:sz w:val="24"/>
        </w:rPr>
        <w:t>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14:paraId="1C7FB518" w14:textId="77777777" w:rsidR="007C736D" w:rsidRDefault="00662CFB">
      <w:pPr>
        <w:spacing w:line="360" w:lineRule="auto"/>
        <w:ind w:firstLine="480"/>
        <w:rPr>
          <w:bCs/>
          <w:sz w:val="24"/>
        </w:rPr>
      </w:pP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14:paraId="2DB6A785" w14:textId="77777777" w:rsidR="007C736D" w:rsidRDefault="00662CFB">
      <w:pPr>
        <w:spacing w:line="360" w:lineRule="auto"/>
        <w:ind w:firstLine="480"/>
        <w:rPr>
          <w:bCs/>
          <w:sz w:val="24"/>
        </w:rPr>
      </w:pPr>
      <w:r>
        <w:rPr>
          <w:rFonts w:hint="eastAsia"/>
          <w:bCs/>
          <w:sz w:val="24"/>
        </w:rPr>
        <w:t>6</w:t>
      </w:r>
      <w:r>
        <w:rPr>
          <w:rFonts w:hint="eastAsia"/>
          <w:bCs/>
          <w:sz w:val="24"/>
        </w:rPr>
        <w:t>、基金份额持有人会议的召集人负</w:t>
      </w:r>
      <w:r>
        <w:rPr>
          <w:rFonts w:hint="eastAsia"/>
          <w:bCs/>
          <w:sz w:val="24"/>
        </w:rPr>
        <w:t>责选择确定开会时间、地点、方式和权益登记日。</w:t>
      </w:r>
    </w:p>
    <w:p w14:paraId="5022D435" w14:textId="77777777" w:rsidR="007C736D" w:rsidRDefault="00662CFB">
      <w:pPr>
        <w:spacing w:line="360" w:lineRule="auto"/>
        <w:ind w:firstLine="480"/>
        <w:rPr>
          <w:bCs/>
          <w:sz w:val="24"/>
        </w:rPr>
      </w:pPr>
      <w:r>
        <w:rPr>
          <w:rFonts w:hint="eastAsia"/>
          <w:bCs/>
          <w:sz w:val="24"/>
        </w:rPr>
        <w:t>（三</w:t>
      </w:r>
      <w:r>
        <w:rPr>
          <w:bCs/>
          <w:sz w:val="24"/>
        </w:rPr>
        <w:t>)</w:t>
      </w:r>
      <w:r>
        <w:rPr>
          <w:rFonts w:hint="eastAsia"/>
          <w:bCs/>
          <w:sz w:val="24"/>
        </w:rPr>
        <w:t>召开基金份额持有人大会的通知时间、通知内容、通知方式</w:t>
      </w:r>
    </w:p>
    <w:p w14:paraId="608156C4" w14:textId="77777777" w:rsidR="007C736D" w:rsidRDefault="00662CFB">
      <w:pPr>
        <w:spacing w:line="360" w:lineRule="auto"/>
        <w:ind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日，在规定媒介公告。基金份额持有人大会通知应至少载明以下内容：</w:t>
      </w:r>
    </w:p>
    <w:p w14:paraId="51C2E097" w14:textId="77777777" w:rsidR="007C736D" w:rsidRDefault="00662CFB">
      <w:pPr>
        <w:spacing w:line="360" w:lineRule="auto"/>
        <w:ind w:firstLine="480"/>
        <w:rPr>
          <w:bCs/>
          <w:sz w:val="24"/>
        </w:rPr>
      </w:pPr>
      <w:r>
        <w:rPr>
          <w:rFonts w:hint="eastAsia"/>
          <w:bCs/>
          <w:sz w:val="24"/>
        </w:rPr>
        <w:t>（</w:t>
      </w:r>
      <w:r>
        <w:rPr>
          <w:rFonts w:hint="eastAsia"/>
          <w:bCs/>
          <w:sz w:val="24"/>
        </w:rPr>
        <w:t>1</w:t>
      </w:r>
      <w:r>
        <w:rPr>
          <w:rFonts w:hint="eastAsia"/>
          <w:bCs/>
          <w:sz w:val="24"/>
        </w:rPr>
        <w:t>）会议召开的时间、地点和会议形式；</w:t>
      </w:r>
    </w:p>
    <w:p w14:paraId="474BE32A" w14:textId="77777777" w:rsidR="007C736D" w:rsidRDefault="00662CFB">
      <w:pPr>
        <w:spacing w:line="360" w:lineRule="auto"/>
        <w:ind w:firstLine="480"/>
        <w:rPr>
          <w:bCs/>
          <w:sz w:val="24"/>
        </w:rPr>
      </w:pPr>
      <w:r>
        <w:rPr>
          <w:rFonts w:hint="eastAsia"/>
          <w:bCs/>
          <w:sz w:val="24"/>
        </w:rPr>
        <w:t>（</w:t>
      </w:r>
      <w:r>
        <w:rPr>
          <w:rFonts w:hint="eastAsia"/>
          <w:bCs/>
          <w:sz w:val="24"/>
        </w:rPr>
        <w:t>2</w:t>
      </w:r>
      <w:r>
        <w:rPr>
          <w:rFonts w:hint="eastAsia"/>
          <w:bCs/>
          <w:sz w:val="24"/>
        </w:rPr>
        <w:t>）会议拟审议的事项、议事程序和表决方式；</w:t>
      </w:r>
    </w:p>
    <w:p w14:paraId="441C5090" w14:textId="77777777" w:rsidR="007C736D" w:rsidRDefault="00662CFB">
      <w:pPr>
        <w:spacing w:line="360" w:lineRule="auto"/>
        <w:ind w:firstLine="480"/>
        <w:rPr>
          <w:bCs/>
          <w:sz w:val="24"/>
        </w:rPr>
      </w:pPr>
      <w:r>
        <w:rPr>
          <w:rFonts w:hint="eastAsia"/>
          <w:bCs/>
          <w:sz w:val="24"/>
        </w:rPr>
        <w:t>（</w:t>
      </w:r>
      <w:r>
        <w:rPr>
          <w:rFonts w:hint="eastAsia"/>
          <w:bCs/>
          <w:sz w:val="24"/>
        </w:rPr>
        <w:t>3</w:t>
      </w:r>
      <w:r>
        <w:rPr>
          <w:rFonts w:hint="eastAsia"/>
          <w:bCs/>
          <w:sz w:val="24"/>
        </w:rPr>
        <w:t>）有权出席基金份额持有人大会的基金份额持有人的权益登记日；</w:t>
      </w:r>
    </w:p>
    <w:p w14:paraId="517DEFA1" w14:textId="77777777" w:rsidR="007C736D" w:rsidRDefault="00662CFB">
      <w:pPr>
        <w:spacing w:line="360" w:lineRule="auto"/>
        <w:ind w:firstLine="480"/>
        <w:rPr>
          <w:bCs/>
          <w:sz w:val="24"/>
        </w:rPr>
      </w:pPr>
      <w:r>
        <w:rPr>
          <w:rFonts w:hint="eastAsia"/>
          <w:bCs/>
          <w:sz w:val="24"/>
        </w:rPr>
        <w:t>（</w:t>
      </w:r>
      <w:r>
        <w:rPr>
          <w:rFonts w:hint="eastAsia"/>
          <w:bCs/>
          <w:sz w:val="24"/>
        </w:rPr>
        <w:t>4</w:t>
      </w:r>
      <w:r>
        <w:rPr>
          <w:rFonts w:hint="eastAsia"/>
          <w:bCs/>
          <w:sz w:val="24"/>
        </w:rPr>
        <w:t>）授权委托证明的内容要求（包括但不限于代理人身份，代理权限和代理有效期限等）、送达时间和地点；</w:t>
      </w:r>
    </w:p>
    <w:p w14:paraId="34F68089" w14:textId="77777777" w:rsidR="007C736D" w:rsidRDefault="00662CFB">
      <w:pPr>
        <w:spacing w:line="360" w:lineRule="auto"/>
        <w:ind w:firstLine="480"/>
        <w:rPr>
          <w:bCs/>
          <w:sz w:val="24"/>
        </w:rPr>
      </w:pPr>
      <w:r>
        <w:rPr>
          <w:rFonts w:hint="eastAsia"/>
          <w:bCs/>
          <w:sz w:val="24"/>
        </w:rPr>
        <w:t>（</w:t>
      </w:r>
      <w:r>
        <w:rPr>
          <w:rFonts w:hint="eastAsia"/>
          <w:bCs/>
          <w:sz w:val="24"/>
        </w:rPr>
        <w:t>5</w:t>
      </w:r>
      <w:r>
        <w:rPr>
          <w:rFonts w:hint="eastAsia"/>
          <w:bCs/>
          <w:sz w:val="24"/>
        </w:rPr>
        <w:t>）会务常设联系人姓名及联系电话；</w:t>
      </w:r>
    </w:p>
    <w:p w14:paraId="2964C081" w14:textId="77777777" w:rsidR="007C736D" w:rsidRDefault="00662CFB">
      <w:pPr>
        <w:spacing w:line="360" w:lineRule="auto"/>
        <w:ind w:firstLine="480"/>
        <w:rPr>
          <w:bCs/>
          <w:sz w:val="24"/>
        </w:rPr>
      </w:pPr>
      <w:r>
        <w:rPr>
          <w:rFonts w:hint="eastAsia"/>
          <w:bCs/>
          <w:sz w:val="24"/>
        </w:rPr>
        <w:t>（</w:t>
      </w:r>
      <w:r>
        <w:rPr>
          <w:rFonts w:hint="eastAsia"/>
          <w:bCs/>
          <w:sz w:val="24"/>
        </w:rPr>
        <w:t>6</w:t>
      </w:r>
      <w:r>
        <w:rPr>
          <w:rFonts w:hint="eastAsia"/>
          <w:bCs/>
          <w:sz w:val="24"/>
        </w:rPr>
        <w:t>）出席会议者必须准备的文件和必须履行的手续；</w:t>
      </w:r>
    </w:p>
    <w:p w14:paraId="6178851F" w14:textId="77777777" w:rsidR="007C736D" w:rsidRDefault="00662CFB">
      <w:pPr>
        <w:spacing w:line="360" w:lineRule="auto"/>
        <w:ind w:firstLine="480"/>
        <w:rPr>
          <w:bCs/>
          <w:sz w:val="24"/>
        </w:rPr>
      </w:pPr>
      <w:r>
        <w:rPr>
          <w:rFonts w:hint="eastAsia"/>
          <w:bCs/>
          <w:sz w:val="24"/>
        </w:rPr>
        <w:t>（</w:t>
      </w:r>
      <w:r>
        <w:rPr>
          <w:rFonts w:hint="eastAsia"/>
          <w:bCs/>
          <w:sz w:val="24"/>
        </w:rPr>
        <w:t>7</w:t>
      </w:r>
      <w:r>
        <w:rPr>
          <w:rFonts w:hint="eastAsia"/>
          <w:bCs/>
          <w:sz w:val="24"/>
        </w:rPr>
        <w:t>）召集人需要通知的其他事项。</w:t>
      </w:r>
    </w:p>
    <w:p w14:paraId="578F47A5" w14:textId="77777777" w:rsidR="007C736D" w:rsidRDefault="00662CFB">
      <w:pPr>
        <w:spacing w:line="360" w:lineRule="auto"/>
        <w:ind w:firstLine="480"/>
        <w:rPr>
          <w:bCs/>
          <w:sz w:val="24"/>
        </w:rPr>
      </w:pPr>
      <w:r>
        <w:rPr>
          <w:rFonts w:hint="eastAsia"/>
          <w:bCs/>
          <w:sz w:val="24"/>
        </w:rPr>
        <w:lastRenderedPageBreak/>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9B0185C" w14:textId="77777777" w:rsidR="007C736D" w:rsidRDefault="00662CFB">
      <w:pPr>
        <w:spacing w:line="360" w:lineRule="auto"/>
        <w:ind w:firstLine="480"/>
        <w:rPr>
          <w:bCs/>
          <w:sz w:val="24"/>
        </w:rPr>
      </w:pP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E4D090F" w14:textId="77777777" w:rsidR="007C736D" w:rsidRDefault="00662CFB">
      <w:pPr>
        <w:spacing w:line="360" w:lineRule="auto"/>
        <w:ind w:firstLine="480"/>
        <w:rPr>
          <w:bCs/>
          <w:sz w:val="24"/>
        </w:rPr>
      </w:pPr>
      <w:r>
        <w:rPr>
          <w:rFonts w:hint="eastAsia"/>
          <w:bCs/>
          <w:sz w:val="24"/>
        </w:rPr>
        <w:t>（四</w:t>
      </w:r>
      <w:r>
        <w:rPr>
          <w:bCs/>
          <w:sz w:val="24"/>
        </w:rPr>
        <w:t>)</w:t>
      </w:r>
      <w:r>
        <w:rPr>
          <w:rFonts w:hint="eastAsia"/>
          <w:bCs/>
          <w:sz w:val="24"/>
        </w:rPr>
        <w:t>基金份额持有人出席会议的方式</w:t>
      </w:r>
    </w:p>
    <w:p w14:paraId="37A24CC1" w14:textId="77777777" w:rsidR="007C736D" w:rsidRDefault="00662CFB">
      <w:pPr>
        <w:spacing w:line="360" w:lineRule="auto"/>
        <w:ind w:firstLine="480"/>
        <w:rPr>
          <w:bCs/>
          <w:sz w:val="24"/>
        </w:rPr>
      </w:pPr>
      <w:r>
        <w:rPr>
          <w:rFonts w:hint="eastAsia"/>
          <w:bCs/>
          <w:sz w:val="24"/>
        </w:rPr>
        <w:t>基金份额持有人大会可通过现场开会方式、通讯开会方式或法律法规、监管机构允许的其他方式召开，会议的召开方式由会议召集人确定。</w:t>
      </w:r>
    </w:p>
    <w:p w14:paraId="0A443969" w14:textId="77777777" w:rsidR="007C736D" w:rsidRDefault="00662CFB">
      <w:pPr>
        <w:spacing w:line="360" w:lineRule="auto"/>
        <w:ind w:firstLine="480"/>
        <w:rPr>
          <w:bCs/>
          <w:sz w:val="24"/>
        </w:rPr>
      </w:pP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9B4C50A" w14:textId="77777777" w:rsidR="007C736D" w:rsidRDefault="00662CFB">
      <w:pPr>
        <w:spacing w:line="360" w:lineRule="auto"/>
        <w:ind w:firstLine="480"/>
        <w:rPr>
          <w:bCs/>
          <w:sz w:val="24"/>
        </w:rPr>
      </w:pPr>
      <w:r>
        <w:rPr>
          <w:rFonts w:hint="eastAsia"/>
          <w:bCs/>
          <w:sz w:val="24"/>
        </w:rPr>
        <w:t>（</w:t>
      </w:r>
      <w:r>
        <w:rPr>
          <w:rFonts w:hint="eastAsia"/>
          <w:bCs/>
          <w:sz w:val="24"/>
        </w:rPr>
        <w:t>1</w:t>
      </w:r>
      <w:r>
        <w:rPr>
          <w:rFonts w:hint="eastAsia"/>
          <w:bCs/>
          <w:sz w:val="24"/>
        </w:rPr>
        <w:t>）亲自出席会议者持有基金份额的凭证、受托出席会议者出具的委托人持有基金份额的凭证及委托人的代理投票授权委托证明符合法律法规</w:t>
      </w:r>
      <w:r>
        <w:rPr>
          <w:rFonts w:hint="eastAsia"/>
          <w:bCs/>
          <w:sz w:val="24"/>
        </w:rPr>
        <w:t>、《基金合同》和会议通知的规定，并且持有基金份额的凭证与基金管理人持有的登记资料相符；</w:t>
      </w:r>
    </w:p>
    <w:p w14:paraId="65E43D71" w14:textId="77777777" w:rsidR="007C736D" w:rsidRDefault="00662CFB">
      <w:pPr>
        <w:spacing w:line="360" w:lineRule="auto"/>
        <w:ind w:firstLine="480"/>
        <w:rPr>
          <w:bCs/>
          <w:sz w:val="24"/>
        </w:rPr>
      </w:pPr>
      <w:r>
        <w:rPr>
          <w:rFonts w:hint="eastAsia"/>
          <w:bCs/>
          <w:sz w:val="24"/>
        </w:rPr>
        <w:t>（</w:t>
      </w:r>
      <w:r>
        <w:rPr>
          <w:rFonts w:hint="eastAsia"/>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w:t>
      </w:r>
      <w:r>
        <w:rPr>
          <w:rFonts w:hint="eastAsia"/>
          <w:bCs/>
          <w:sz w:val="24"/>
        </w:rPr>
        <w:t>登记日基金总份额的三分之一（含三分之一）。</w:t>
      </w:r>
    </w:p>
    <w:p w14:paraId="051E8D0E" w14:textId="77777777" w:rsidR="007C736D" w:rsidRDefault="00662CFB">
      <w:pPr>
        <w:spacing w:line="360" w:lineRule="auto"/>
        <w:ind w:firstLine="480"/>
        <w:rPr>
          <w:bCs/>
          <w:sz w:val="24"/>
        </w:rPr>
      </w:pPr>
      <w:r>
        <w:rPr>
          <w:rFonts w:hint="eastAsia"/>
          <w:bCs/>
          <w:sz w:val="24"/>
        </w:rPr>
        <w:t>2</w:t>
      </w:r>
      <w:r>
        <w:rPr>
          <w:rFonts w:hint="eastAsia"/>
          <w:bCs/>
          <w:sz w:val="24"/>
        </w:rPr>
        <w:t>、通讯开会。通讯开会系指基金份额持有人将其对表决事项的投票以书面形式或大会公告载明的其他方式在表决截止日以前送达至召集人指定的地址。</w:t>
      </w:r>
      <w:r>
        <w:rPr>
          <w:rFonts w:hint="eastAsia"/>
          <w:bCs/>
          <w:sz w:val="24"/>
        </w:rPr>
        <w:lastRenderedPageBreak/>
        <w:t>通讯开会应以书面方式或大会公告载明的其他方式进行表决。</w:t>
      </w:r>
    </w:p>
    <w:p w14:paraId="4283DA4A" w14:textId="77777777" w:rsidR="007C736D" w:rsidRDefault="00662CFB">
      <w:pPr>
        <w:spacing w:line="360" w:lineRule="auto"/>
        <w:ind w:firstLine="480"/>
        <w:rPr>
          <w:bCs/>
          <w:sz w:val="24"/>
        </w:rPr>
      </w:pPr>
      <w:r>
        <w:rPr>
          <w:rFonts w:hint="eastAsia"/>
          <w:bCs/>
          <w:sz w:val="24"/>
        </w:rPr>
        <w:t>在同时符合以下条件时，通讯开会的方式视为有效：</w:t>
      </w:r>
    </w:p>
    <w:p w14:paraId="3FD0BF9E" w14:textId="77777777" w:rsidR="007C736D" w:rsidRDefault="00662CFB">
      <w:pPr>
        <w:spacing w:line="360" w:lineRule="auto"/>
        <w:ind w:firstLine="480"/>
        <w:rPr>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个工作日内连续公布相关提示性公告，监管机构另有规定的除外；</w:t>
      </w:r>
    </w:p>
    <w:p w14:paraId="1AED3A9D" w14:textId="77777777" w:rsidR="007C736D" w:rsidRDefault="00662CFB">
      <w:pPr>
        <w:spacing w:line="360" w:lineRule="auto"/>
        <w:ind w:firstLine="480"/>
        <w:rPr>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）召集人按基金合同约定通知基金托管人（如果基金托管人为召集人，则为基金管理人）到指定地点对表决意见的计票进行监督</w:t>
      </w:r>
      <w:r>
        <w:rPr>
          <w:rFonts w:hint="eastAsia"/>
          <w:bCs/>
          <w:sz w:val="24"/>
        </w:rPr>
        <w:t>。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E1ABC01" w14:textId="77777777" w:rsidR="007C736D" w:rsidRDefault="00662CFB">
      <w:pPr>
        <w:spacing w:line="360" w:lineRule="auto"/>
        <w:ind w:firstLine="480"/>
        <w:rPr>
          <w:bCs/>
          <w:sz w:val="24"/>
        </w:rPr>
      </w:pPr>
      <w:r>
        <w:rPr>
          <w:rFonts w:hint="eastAsia"/>
          <w:bCs/>
          <w:sz w:val="24"/>
        </w:rPr>
        <w:t>（</w:t>
      </w: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w:t>
      </w:r>
      <w:r>
        <w:rPr>
          <w:rFonts w:hint="eastAsia"/>
          <w:bCs/>
          <w:sz w:val="24"/>
        </w:rPr>
        <w:t>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18A759E2" w14:textId="77777777" w:rsidR="007C736D" w:rsidRDefault="00662CFB">
      <w:pPr>
        <w:spacing w:line="360" w:lineRule="auto"/>
        <w:ind w:firstLine="480"/>
        <w:rPr>
          <w:bCs/>
          <w:sz w:val="24"/>
        </w:rPr>
      </w:pPr>
      <w:r>
        <w:rPr>
          <w:rFonts w:hint="eastAsia"/>
          <w:bCs/>
          <w:sz w:val="24"/>
        </w:rPr>
        <w:t>（</w:t>
      </w: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F87BC90" w14:textId="77777777" w:rsidR="007C736D" w:rsidRDefault="00662CFB">
      <w:pPr>
        <w:spacing w:line="360" w:lineRule="auto"/>
        <w:ind w:firstLine="480"/>
        <w:rPr>
          <w:bCs/>
          <w:sz w:val="24"/>
        </w:rPr>
      </w:pPr>
      <w:r>
        <w:rPr>
          <w:rFonts w:hint="eastAsia"/>
          <w:bCs/>
          <w:sz w:val="24"/>
        </w:rPr>
        <w:t>3</w:t>
      </w:r>
      <w:r>
        <w:rPr>
          <w:rFonts w:hint="eastAsia"/>
          <w:bCs/>
          <w:sz w:val="24"/>
        </w:rPr>
        <w:t>、在不违反法律法规和监管机关规定的前提下，本基</w:t>
      </w:r>
      <w:r>
        <w:rPr>
          <w:rFonts w:hint="eastAsia"/>
          <w:bCs/>
          <w:sz w:val="24"/>
        </w:rPr>
        <w:t>金的基金份额持有人亦可采用其他方式授权其代理人出席基金份额持有人大会，授权方式可以采用书面、网络、电话、短信或其他方式，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3AA7F7BF" w14:textId="77777777" w:rsidR="007C736D" w:rsidRDefault="00662CFB">
      <w:pPr>
        <w:spacing w:line="360" w:lineRule="auto"/>
        <w:ind w:firstLine="480"/>
        <w:rPr>
          <w:bCs/>
          <w:sz w:val="24"/>
        </w:rPr>
      </w:pPr>
      <w:r>
        <w:rPr>
          <w:rFonts w:hint="eastAsia"/>
          <w:bCs/>
          <w:sz w:val="24"/>
        </w:rPr>
        <w:lastRenderedPageBreak/>
        <w:t>（五</w:t>
      </w:r>
      <w:r>
        <w:rPr>
          <w:bCs/>
          <w:sz w:val="24"/>
        </w:rPr>
        <w:t>)</w:t>
      </w:r>
      <w:r>
        <w:rPr>
          <w:rFonts w:hint="eastAsia"/>
          <w:bCs/>
          <w:sz w:val="24"/>
        </w:rPr>
        <w:t>议事内容与程序</w:t>
      </w:r>
    </w:p>
    <w:p w14:paraId="4393CF40" w14:textId="77777777" w:rsidR="007C736D" w:rsidRDefault="00662CFB">
      <w:pPr>
        <w:spacing w:line="360" w:lineRule="auto"/>
        <w:ind w:firstLine="480"/>
        <w:rPr>
          <w:bCs/>
          <w:sz w:val="24"/>
        </w:rPr>
      </w:pPr>
      <w:r>
        <w:rPr>
          <w:rFonts w:hint="eastAsia"/>
          <w:bCs/>
          <w:sz w:val="24"/>
        </w:rPr>
        <w:t>1</w:t>
      </w:r>
      <w:r>
        <w:rPr>
          <w:rFonts w:hint="eastAsia"/>
          <w:bCs/>
          <w:sz w:val="24"/>
        </w:rPr>
        <w:t>、议事内容及提案权</w:t>
      </w:r>
    </w:p>
    <w:p w14:paraId="3A699CE0" w14:textId="77777777" w:rsidR="007C736D" w:rsidRDefault="00662CFB">
      <w:pPr>
        <w:spacing w:line="360" w:lineRule="auto"/>
        <w:ind w:firstLine="480"/>
        <w:rPr>
          <w:bCs/>
          <w:sz w:val="24"/>
        </w:rPr>
      </w:pPr>
      <w:r>
        <w:rPr>
          <w:rFonts w:hint="eastAsia"/>
          <w:bCs/>
          <w:sz w:val="24"/>
        </w:rPr>
        <w:t>议事内容为关系基金份额持有人利益的重大事</w:t>
      </w:r>
      <w:r>
        <w:rPr>
          <w:rFonts w:hint="eastAsia"/>
          <w:bCs/>
          <w:sz w:val="24"/>
        </w:rPr>
        <w:t>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E28F732" w14:textId="77777777" w:rsidR="007C736D" w:rsidRDefault="00662CFB">
      <w:pPr>
        <w:spacing w:line="360" w:lineRule="auto"/>
        <w:ind w:firstLine="480"/>
        <w:rPr>
          <w:bCs/>
          <w:sz w:val="24"/>
        </w:rPr>
      </w:pPr>
      <w:r>
        <w:rPr>
          <w:rFonts w:hint="eastAsia"/>
          <w:bCs/>
          <w:sz w:val="24"/>
        </w:rPr>
        <w:t>基金份额持有人大会的召集人发出召集会议的通知后，对原有提案的修改应当在基金份额持有人大会召开前及时公告。</w:t>
      </w:r>
    </w:p>
    <w:p w14:paraId="69A49588" w14:textId="77777777" w:rsidR="007C736D" w:rsidRDefault="00662CFB">
      <w:pPr>
        <w:spacing w:line="360" w:lineRule="auto"/>
        <w:ind w:firstLine="480"/>
        <w:rPr>
          <w:bCs/>
          <w:sz w:val="24"/>
        </w:rPr>
      </w:pPr>
      <w:r>
        <w:rPr>
          <w:rFonts w:hint="eastAsia"/>
          <w:bCs/>
          <w:sz w:val="24"/>
        </w:rPr>
        <w:t>基金份额持有人大会不得对未事先公告的议事内容进行表决。</w:t>
      </w:r>
    </w:p>
    <w:p w14:paraId="46DA2DC3" w14:textId="77777777" w:rsidR="007C736D" w:rsidRDefault="00662CFB">
      <w:pPr>
        <w:spacing w:line="360" w:lineRule="auto"/>
        <w:ind w:firstLine="480"/>
        <w:rPr>
          <w:bCs/>
          <w:sz w:val="24"/>
        </w:rPr>
      </w:pPr>
      <w:r>
        <w:rPr>
          <w:rFonts w:hint="eastAsia"/>
          <w:bCs/>
          <w:sz w:val="24"/>
        </w:rPr>
        <w:t>2</w:t>
      </w:r>
      <w:r>
        <w:rPr>
          <w:rFonts w:hint="eastAsia"/>
          <w:bCs/>
          <w:sz w:val="24"/>
        </w:rPr>
        <w:t>、议事程序</w:t>
      </w:r>
    </w:p>
    <w:p w14:paraId="2141D9FC" w14:textId="77777777" w:rsidR="007C736D" w:rsidRDefault="00662CFB">
      <w:pPr>
        <w:spacing w:line="360" w:lineRule="auto"/>
        <w:ind w:firstLine="480"/>
        <w:rPr>
          <w:bCs/>
          <w:sz w:val="24"/>
        </w:rPr>
      </w:pPr>
      <w:r>
        <w:rPr>
          <w:rFonts w:hint="eastAsia"/>
          <w:bCs/>
          <w:sz w:val="24"/>
        </w:rPr>
        <w:t>（</w:t>
      </w:r>
      <w:r>
        <w:rPr>
          <w:rFonts w:hint="eastAsia"/>
          <w:bCs/>
          <w:sz w:val="24"/>
        </w:rPr>
        <w:t>1</w:t>
      </w:r>
      <w:r>
        <w:rPr>
          <w:rFonts w:hint="eastAsia"/>
          <w:bCs/>
          <w:sz w:val="24"/>
        </w:rPr>
        <w:t>）现场开会</w:t>
      </w:r>
    </w:p>
    <w:p w14:paraId="14C7ADD8" w14:textId="77777777" w:rsidR="007C736D" w:rsidRDefault="00662CFB">
      <w:pPr>
        <w:spacing w:line="360" w:lineRule="auto"/>
        <w:ind w:firstLine="480"/>
        <w:rPr>
          <w:bCs/>
          <w:sz w:val="24"/>
        </w:rPr>
      </w:pPr>
      <w:r>
        <w:rPr>
          <w:rFonts w:hint="eastAsia"/>
          <w:bCs/>
          <w:sz w:val="24"/>
        </w:rPr>
        <w:t>在现场开会的方式下，首先由大会主持人按照下列第（七）条规定程序确定和公布监票</w:t>
      </w:r>
      <w:r>
        <w:rPr>
          <w:rFonts w:hint="eastAsia"/>
          <w:bCs/>
          <w:sz w:val="24"/>
        </w:rPr>
        <w:t>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14:paraId="56E140DF" w14:textId="77777777" w:rsidR="007C736D" w:rsidRDefault="00662CFB">
      <w:pPr>
        <w:spacing w:line="360" w:lineRule="auto"/>
        <w:ind w:firstLine="480"/>
        <w:rPr>
          <w:bCs/>
          <w:sz w:val="24"/>
        </w:rPr>
      </w:pPr>
      <w:r>
        <w:rPr>
          <w:rFonts w:hint="eastAsia"/>
          <w:bCs/>
          <w:sz w:val="24"/>
        </w:rPr>
        <w:t>会议召集人应当制作出席会议人员的签名</w:t>
      </w:r>
      <w:r>
        <w:rPr>
          <w:rFonts w:hint="eastAsia"/>
          <w:bCs/>
          <w:sz w:val="24"/>
        </w:rPr>
        <w:t>册。签名册载明参加会议人员姓名（或单位名称）、身份证明文件号码、持有或代表有表决权的基金份额、委托人姓名（或单位名称）和联系方式等事项。</w:t>
      </w:r>
    </w:p>
    <w:p w14:paraId="07A0B0D2" w14:textId="77777777" w:rsidR="007C736D" w:rsidRDefault="00662CFB">
      <w:pPr>
        <w:spacing w:line="360" w:lineRule="auto"/>
        <w:ind w:firstLine="480"/>
        <w:rPr>
          <w:bCs/>
          <w:sz w:val="24"/>
        </w:rPr>
      </w:pPr>
      <w:r>
        <w:rPr>
          <w:rFonts w:hint="eastAsia"/>
          <w:bCs/>
          <w:sz w:val="24"/>
        </w:rPr>
        <w:t>（</w:t>
      </w:r>
      <w:r>
        <w:rPr>
          <w:rFonts w:hint="eastAsia"/>
          <w:bCs/>
          <w:sz w:val="24"/>
        </w:rPr>
        <w:t>2</w:t>
      </w:r>
      <w:r>
        <w:rPr>
          <w:rFonts w:hint="eastAsia"/>
          <w:bCs/>
          <w:sz w:val="24"/>
        </w:rPr>
        <w:t>）通讯开会</w:t>
      </w:r>
    </w:p>
    <w:p w14:paraId="4A2B770D" w14:textId="77777777" w:rsidR="007C736D" w:rsidRDefault="00662CFB">
      <w:pPr>
        <w:spacing w:line="360" w:lineRule="auto"/>
        <w:ind w:firstLine="480"/>
        <w:rPr>
          <w:bCs/>
          <w:sz w:val="24"/>
        </w:rPr>
      </w:pPr>
      <w:r>
        <w:rPr>
          <w:rFonts w:hint="eastAsia"/>
          <w:bCs/>
          <w:sz w:val="24"/>
        </w:rPr>
        <w:t>在通讯开会的情况下，首先由召集人提前</w:t>
      </w:r>
      <w:r>
        <w:rPr>
          <w:rFonts w:hint="eastAsia"/>
          <w:bCs/>
          <w:sz w:val="24"/>
        </w:rPr>
        <w:t>30</w:t>
      </w:r>
      <w:r>
        <w:rPr>
          <w:rFonts w:hint="eastAsia"/>
          <w:bCs/>
          <w:sz w:val="24"/>
        </w:rPr>
        <w:t>日公布提案，在所通知的表决截止日期后</w:t>
      </w:r>
      <w:r>
        <w:rPr>
          <w:rFonts w:hint="eastAsia"/>
          <w:bCs/>
          <w:sz w:val="24"/>
        </w:rPr>
        <w:t>2</w:t>
      </w:r>
      <w:r>
        <w:rPr>
          <w:rFonts w:hint="eastAsia"/>
          <w:bCs/>
          <w:sz w:val="24"/>
        </w:rPr>
        <w:t>个工作日内在公证机关监督下由召集人统计全部有效表决，在公证机关监督下形成决议。</w:t>
      </w:r>
    </w:p>
    <w:p w14:paraId="37D5B244" w14:textId="77777777" w:rsidR="007C736D" w:rsidRDefault="00662CFB">
      <w:pPr>
        <w:spacing w:line="360" w:lineRule="auto"/>
        <w:ind w:firstLine="480"/>
        <w:rPr>
          <w:bCs/>
          <w:sz w:val="24"/>
        </w:rPr>
      </w:pPr>
      <w:r>
        <w:rPr>
          <w:rFonts w:hint="eastAsia"/>
          <w:bCs/>
          <w:sz w:val="24"/>
        </w:rPr>
        <w:t>（六</w:t>
      </w:r>
      <w:r>
        <w:rPr>
          <w:bCs/>
          <w:sz w:val="24"/>
        </w:rPr>
        <w:t>)</w:t>
      </w:r>
      <w:r>
        <w:rPr>
          <w:rFonts w:hint="eastAsia"/>
          <w:bCs/>
          <w:sz w:val="24"/>
        </w:rPr>
        <w:t>表决</w:t>
      </w:r>
    </w:p>
    <w:p w14:paraId="1C1A506D" w14:textId="77777777" w:rsidR="007C736D" w:rsidRDefault="00662CFB">
      <w:pPr>
        <w:spacing w:line="360" w:lineRule="auto"/>
        <w:ind w:firstLine="480"/>
        <w:rPr>
          <w:bCs/>
          <w:sz w:val="24"/>
        </w:rPr>
      </w:pPr>
      <w:r>
        <w:rPr>
          <w:rFonts w:hint="eastAsia"/>
          <w:bCs/>
          <w:sz w:val="24"/>
        </w:rPr>
        <w:lastRenderedPageBreak/>
        <w:t>基金份额持有人所持每份基金份额有一票表决权。</w:t>
      </w:r>
    </w:p>
    <w:p w14:paraId="3CFA4A52" w14:textId="77777777" w:rsidR="007C736D" w:rsidRDefault="00662CFB">
      <w:pPr>
        <w:spacing w:line="360" w:lineRule="auto"/>
        <w:ind w:firstLine="480"/>
        <w:rPr>
          <w:bCs/>
          <w:sz w:val="24"/>
        </w:rPr>
      </w:pPr>
      <w:r>
        <w:rPr>
          <w:rFonts w:hint="eastAsia"/>
          <w:bCs/>
          <w:sz w:val="24"/>
        </w:rPr>
        <w:t>基金份额持有人大会决议分为一般决议和特别决议：</w:t>
      </w:r>
    </w:p>
    <w:p w14:paraId="5EC56B0F" w14:textId="77777777" w:rsidR="007C736D" w:rsidRDefault="00662CFB">
      <w:pPr>
        <w:spacing w:line="360" w:lineRule="auto"/>
        <w:ind w:firstLine="480"/>
        <w:rPr>
          <w:bCs/>
          <w:sz w:val="24"/>
        </w:rPr>
      </w:pPr>
      <w:r>
        <w:rPr>
          <w:rFonts w:hint="eastAsia"/>
          <w:bCs/>
          <w:sz w:val="24"/>
        </w:rPr>
        <w:t>1</w:t>
      </w:r>
      <w:r>
        <w:rPr>
          <w:rFonts w:hint="eastAsia"/>
          <w:bCs/>
          <w:sz w:val="24"/>
        </w:rPr>
        <w:t>、一般决议，一般决议须经参加大会的基金份额持有人或其代理人所持表决权的二分之一以上（含二分之</w:t>
      </w:r>
      <w:r>
        <w:rPr>
          <w:rFonts w:hint="eastAsia"/>
          <w:bCs/>
          <w:sz w:val="24"/>
        </w:rPr>
        <w:t>一）通过方为有效；除下列第</w:t>
      </w:r>
      <w:r>
        <w:rPr>
          <w:rFonts w:hint="eastAsia"/>
          <w:bCs/>
          <w:sz w:val="24"/>
        </w:rPr>
        <w:t>2</w:t>
      </w:r>
      <w:r>
        <w:rPr>
          <w:rFonts w:hint="eastAsia"/>
          <w:bCs/>
          <w:sz w:val="24"/>
        </w:rPr>
        <w:t>项所规定的须以特别决议通过事项以外的其他事项均以一般决议的方式通过。</w:t>
      </w:r>
    </w:p>
    <w:p w14:paraId="0A5E8F85" w14:textId="77777777" w:rsidR="007C736D" w:rsidRDefault="00662CFB">
      <w:pPr>
        <w:spacing w:line="360" w:lineRule="auto"/>
        <w:ind w:firstLine="480"/>
        <w:rPr>
          <w:bCs/>
          <w:sz w:val="24"/>
        </w:rPr>
      </w:pPr>
      <w:r>
        <w:rPr>
          <w:rFonts w:hint="eastAsia"/>
          <w:bCs/>
          <w:sz w:val="24"/>
        </w:rPr>
        <w:t>2</w:t>
      </w:r>
      <w:r>
        <w:rPr>
          <w:rFonts w:hint="eastAsia"/>
          <w:bCs/>
          <w:sz w:val="24"/>
        </w:rPr>
        <w:t>、特别决议，特别决议应当经参加大会的基金份额持有人或其代理人所持表决权的三分之二以上（含三分之二）通过方可做出。除法律法规另有规定或基金合同另有约定外，转换基金运作方式、更换基金管理人或者基金托管人、终止《基金合同》、本基金与其他基金合并以特别决议通过方为有效。</w:t>
      </w:r>
    </w:p>
    <w:p w14:paraId="7D53AD83" w14:textId="77777777" w:rsidR="007C736D" w:rsidRDefault="00662CFB">
      <w:pPr>
        <w:spacing w:line="360" w:lineRule="auto"/>
        <w:ind w:firstLine="480"/>
        <w:rPr>
          <w:bCs/>
          <w:sz w:val="24"/>
        </w:rPr>
      </w:pPr>
      <w:r>
        <w:rPr>
          <w:rFonts w:hint="eastAsia"/>
          <w:bCs/>
          <w:sz w:val="24"/>
        </w:rPr>
        <w:t>基金份额持有人大会采取记名方式进行投票表决。</w:t>
      </w:r>
    </w:p>
    <w:p w14:paraId="6E68D809" w14:textId="77777777" w:rsidR="007C736D" w:rsidRDefault="00662CFB">
      <w:pPr>
        <w:spacing w:line="360" w:lineRule="auto"/>
        <w:ind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E80FEEC" w14:textId="77777777" w:rsidR="007C736D" w:rsidRDefault="00662CFB">
      <w:pPr>
        <w:spacing w:line="360" w:lineRule="auto"/>
        <w:ind w:firstLine="480"/>
        <w:rPr>
          <w:bCs/>
          <w:sz w:val="24"/>
        </w:rPr>
      </w:pPr>
      <w:r>
        <w:rPr>
          <w:rFonts w:hint="eastAsia"/>
          <w:bCs/>
          <w:sz w:val="24"/>
        </w:rPr>
        <w:t>基金份额持有人大会的各项提案或同一项提案内并列的各项议题应当分开审议、逐项表决。</w:t>
      </w:r>
    </w:p>
    <w:p w14:paraId="727B74A3" w14:textId="77777777" w:rsidR="007C736D" w:rsidRDefault="00662CFB">
      <w:pPr>
        <w:spacing w:line="360" w:lineRule="auto"/>
        <w:ind w:firstLine="480"/>
        <w:rPr>
          <w:bCs/>
          <w:sz w:val="24"/>
        </w:rPr>
      </w:pPr>
      <w:r>
        <w:rPr>
          <w:rFonts w:hint="eastAsia"/>
          <w:bCs/>
          <w:sz w:val="24"/>
        </w:rPr>
        <w:t>（七</w:t>
      </w:r>
      <w:r>
        <w:rPr>
          <w:bCs/>
          <w:sz w:val="24"/>
        </w:rPr>
        <w:t>)</w:t>
      </w:r>
      <w:r>
        <w:rPr>
          <w:rFonts w:hint="eastAsia"/>
          <w:bCs/>
          <w:sz w:val="24"/>
        </w:rPr>
        <w:t>计票</w:t>
      </w:r>
    </w:p>
    <w:p w14:paraId="41CF0177" w14:textId="77777777" w:rsidR="007C736D" w:rsidRDefault="00662CFB">
      <w:pPr>
        <w:spacing w:line="360" w:lineRule="auto"/>
        <w:ind w:firstLine="480"/>
        <w:rPr>
          <w:bCs/>
          <w:sz w:val="24"/>
        </w:rPr>
      </w:pPr>
      <w:r>
        <w:rPr>
          <w:rFonts w:hint="eastAsia"/>
          <w:bCs/>
          <w:sz w:val="24"/>
        </w:rPr>
        <w:t>1</w:t>
      </w:r>
      <w:r>
        <w:rPr>
          <w:rFonts w:hint="eastAsia"/>
          <w:bCs/>
          <w:sz w:val="24"/>
        </w:rPr>
        <w:t>、现场开会</w:t>
      </w:r>
    </w:p>
    <w:p w14:paraId="48445C77" w14:textId="77777777" w:rsidR="007C736D" w:rsidRDefault="00662CFB">
      <w:pPr>
        <w:spacing w:line="360" w:lineRule="auto"/>
        <w:ind w:firstLine="480"/>
        <w:rPr>
          <w:bCs/>
          <w:sz w:val="24"/>
        </w:rPr>
      </w:pPr>
      <w:r>
        <w:rPr>
          <w:rFonts w:hint="eastAsia"/>
          <w:bCs/>
          <w:sz w:val="24"/>
        </w:rPr>
        <w:t>（</w:t>
      </w:r>
      <w:r>
        <w:rPr>
          <w:rFonts w:hint="eastAsia"/>
          <w:bCs/>
          <w:sz w:val="24"/>
        </w:rPr>
        <w:t>1</w:t>
      </w:r>
      <w:r>
        <w:rPr>
          <w:rFonts w:hint="eastAsia"/>
          <w:bCs/>
          <w:sz w:val="24"/>
        </w:rPr>
        <w:t>）如大会由基金管理人或基金托管人召集，基金份额持有人大会的主持人应当在会议开始后宣布在出席会议的基金份额持有人和代理人中</w:t>
      </w:r>
      <w:r>
        <w:rPr>
          <w:rFonts w:hint="eastAsia"/>
          <w:bCs/>
          <w:sz w:val="24"/>
        </w:rPr>
        <w:t>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0DDB85F" w14:textId="77777777" w:rsidR="007C736D" w:rsidRDefault="00662CFB">
      <w:pPr>
        <w:spacing w:line="360" w:lineRule="auto"/>
        <w:ind w:firstLine="480"/>
        <w:rPr>
          <w:bCs/>
          <w:sz w:val="24"/>
        </w:rPr>
      </w:pPr>
      <w:r>
        <w:rPr>
          <w:rFonts w:hint="eastAsia"/>
          <w:bCs/>
          <w:sz w:val="24"/>
        </w:rPr>
        <w:t>（</w:t>
      </w:r>
      <w:r>
        <w:rPr>
          <w:rFonts w:hint="eastAsia"/>
          <w:bCs/>
          <w:sz w:val="24"/>
        </w:rPr>
        <w:t>2</w:t>
      </w:r>
      <w:r>
        <w:rPr>
          <w:rFonts w:hint="eastAsia"/>
          <w:bCs/>
          <w:sz w:val="24"/>
        </w:rPr>
        <w:t>）监票人应当在基金份额持有人表决后立即进行清点并由大会主持人当场公布计票结果。</w:t>
      </w:r>
    </w:p>
    <w:p w14:paraId="4CD02244" w14:textId="77777777" w:rsidR="007C736D" w:rsidRDefault="00662CFB">
      <w:pPr>
        <w:spacing w:line="360" w:lineRule="auto"/>
        <w:ind w:firstLine="480"/>
        <w:rPr>
          <w:bCs/>
          <w:sz w:val="24"/>
        </w:rPr>
      </w:pPr>
      <w:r>
        <w:rPr>
          <w:rFonts w:hint="eastAsia"/>
          <w:bCs/>
          <w:sz w:val="24"/>
        </w:rPr>
        <w:t>（</w:t>
      </w:r>
      <w:r>
        <w:rPr>
          <w:rFonts w:hint="eastAsia"/>
          <w:bCs/>
          <w:sz w:val="24"/>
        </w:rPr>
        <w:t>3</w:t>
      </w:r>
      <w:r>
        <w:rPr>
          <w:rFonts w:hint="eastAsia"/>
          <w:bCs/>
          <w:sz w:val="24"/>
        </w:rPr>
        <w:t>）如果会议主持人或基金份额持有人或代理人对于提交的表决结果有异</w:t>
      </w:r>
      <w:r>
        <w:rPr>
          <w:rFonts w:hint="eastAsia"/>
          <w:bCs/>
          <w:sz w:val="24"/>
        </w:rPr>
        <w:lastRenderedPageBreak/>
        <w:t>议，可以在宣布</w:t>
      </w:r>
      <w:r>
        <w:rPr>
          <w:rFonts w:hint="eastAsia"/>
          <w:bCs/>
          <w:sz w:val="24"/>
        </w:rPr>
        <w:t>表决结果后立即对所投票数要求进行重新清点。监票人应当进行重新清点，重新清点以一次为限。重新清点后，大会主持人应当当场公布重新清点结果。</w:t>
      </w:r>
    </w:p>
    <w:p w14:paraId="7F672F17" w14:textId="77777777" w:rsidR="007C736D" w:rsidRDefault="00662CFB">
      <w:pPr>
        <w:spacing w:line="360" w:lineRule="auto"/>
        <w:ind w:firstLine="480"/>
        <w:rPr>
          <w:bCs/>
          <w:sz w:val="24"/>
        </w:rPr>
      </w:pPr>
      <w:r>
        <w:rPr>
          <w:rFonts w:hint="eastAsia"/>
          <w:bCs/>
          <w:sz w:val="24"/>
        </w:rPr>
        <w:t>（</w:t>
      </w:r>
      <w:r>
        <w:rPr>
          <w:rFonts w:hint="eastAsia"/>
          <w:bCs/>
          <w:sz w:val="24"/>
        </w:rPr>
        <w:t>4</w:t>
      </w:r>
      <w:r>
        <w:rPr>
          <w:rFonts w:hint="eastAsia"/>
          <w:bCs/>
          <w:sz w:val="24"/>
        </w:rPr>
        <w:t>）计票过程应由公证机关予以公证，基金管理人或基金托管人拒不出席大会的，不影响计票的效力。</w:t>
      </w:r>
    </w:p>
    <w:p w14:paraId="0FB3ADD2" w14:textId="77777777" w:rsidR="007C736D" w:rsidRDefault="00662CFB">
      <w:pPr>
        <w:spacing w:line="360" w:lineRule="auto"/>
        <w:ind w:firstLine="480"/>
        <w:rPr>
          <w:bCs/>
          <w:sz w:val="24"/>
        </w:rPr>
      </w:pPr>
      <w:r>
        <w:rPr>
          <w:rFonts w:hint="eastAsia"/>
          <w:bCs/>
          <w:sz w:val="24"/>
        </w:rPr>
        <w:t>2</w:t>
      </w:r>
      <w:r>
        <w:rPr>
          <w:rFonts w:hint="eastAsia"/>
          <w:bCs/>
          <w:sz w:val="24"/>
        </w:rPr>
        <w:t>、通讯开会</w:t>
      </w:r>
    </w:p>
    <w:p w14:paraId="7D552B91" w14:textId="77777777" w:rsidR="007C736D" w:rsidRDefault="00662CFB">
      <w:pPr>
        <w:spacing w:line="360" w:lineRule="auto"/>
        <w:ind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90EDEA4" w14:textId="77777777" w:rsidR="007C736D" w:rsidRDefault="00662CFB">
      <w:pPr>
        <w:spacing w:line="360" w:lineRule="auto"/>
        <w:ind w:firstLine="480"/>
        <w:rPr>
          <w:bCs/>
          <w:sz w:val="24"/>
        </w:rPr>
      </w:pPr>
      <w:r>
        <w:rPr>
          <w:rFonts w:hint="eastAsia"/>
          <w:bCs/>
          <w:sz w:val="24"/>
        </w:rPr>
        <w:t>（八</w:t>
      </w:r>
      <w:r>
        <w:rPr>
          <w:bCs/>
          <w:sz w:val="24"/>
        </w:rPr>
        <w:t>)</w:t>
      </w:r>
      <w:r>
        <w:rPr>
          <w:rFonts w:hint="eastAsia"/>
          <w:bCs/>
          <w:sz w:val="24"/>
        </w:rPr>
        <w:t>生</w:t>
      </w:r>
      <w:r>
        <w:rPr>
          <w:rFonts w:hint="eastAsia"/>
          <w:bCs/>
          <w:sz w:val="24"/>
        </w:rPr>
        <w:t>效与公告</w:t>
      </w:r>
    </w:p>
    <w:p w14:paraId="4170735E" w14:textId="77777777" w:rsidR="007C736D" w:rsidRDefault="00662CFB">
      <w:pPr>
        <w:spacing w:line="360" w:lineRule="auto"/>
        <w:ind w:firstLine="480"/>
        <w:rPr>
          <w:bCs/>
          <w:sz w:val="24"/>
        </w:rPr>
      </w:pPr>
      <w:r>
        <w:rPr>
          <w:rFonts w:hint="eastAsia"/>
          <w:bCs/>
          <w:sz w:val="24"/>
        </w:rPr>
        <w:t>基金份额持有人大会的决议，召集人应当自通过之日起</w:t>
      </w:r>
      <w:r>
        <w:rPr>
          <w:rFonts w:hint="eastAsia"/>
          <w:bCs/>
          <w:sz w:val="24"/>
        </w:rPr>
        <w:t>5</w:t>
      </w:r>
      <w:r>
        <w:rPr>
          <w:rFonts w:hint="eastAsia"/>
          <w:bCs/>
          <w:sz w:val="24"/>
        </w:rPr>
        <w:t>日内报中国证监会备案。</w:t>
      </w:r>
    </w:p>
    <w:p w14:paraId="7925D0AE" w14:textId="77777777" w:rsidR="007C736D" w:rsidRDefault="00662CFB">
      <w:pPr>
        <w:spacing w:line="360" w:lineRule="auto"/>
        <w:ind w:firstLine="480"/>
        <w:rPr>
          <w:bCs/>
          <w:sz w:val="24"/>
        </w:rPr>
      </w:pPr>
      <w:r>
        <w:rPr>
          <w:rFonts w:hint="eastAsia"/>
          <w:bCs/>
          <w:sz w:val="24"/>
        </w:rPr>
        <w:t>基金份额持有人大会的决议自表决通过之日起生效。</w:t>
      </w:r>
    </w:p>
    <w:p w14:paraId="2563862A" w14:textId="77777777" w:rsidR="007C736D" w:rsidRDefault="00662CFB">
      <w:pPr>
        <w:spacing w:line="360" w:lineRule="auto"/>
        <w:ind w:firstLine="480"/>
        <w:rPr>
          <w:bCs/>
          <w:sz w:val="24"/>
        </w:rPr>
      </w:pPr>
      <w:r>
        <w:rPr>
          <w:rFonts w:hint="eastAsia"/>
          <w:bCs/>
          <w:sz w:val="24"/>
        </w:rPr>
        <w:t>基金份额持有人大会决议自生效之日起</w:t>
      </w:r>
      <w:r>
        <w:rPr>
          <w:rFonts w:hint="eastAsia"/>
          <w:bCs/>
          <w:sz w:val="24"/>
        </w:rPr>
        <w:t>2</w:t>
      </w:r>
      <w:r>
        <w:rPr>
          <w:rFonts w:hint="eastAsia"/>
          <w:bCs/>
          <w:sz w:val="24"/>
        </w:rPr>
        <w:t>日内在规定媒介上公告。如果采用通讯方式进行表决，在公告基金份额持有人大会决议时，必须将公证书全文、公证机构、公证员姓名等一同公告。</w:t>
      </w:r>
    </w:p>
    <w:p w14:paraId="0F64E359" w14:textId="77777777" w:rsidR="007C736D" w:rsidRDefault="00662CFB">
      <w:pPr>
        <w:spacing w:line="360" w:lineRule="auto"/>
        <w:ind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B0BE8F7" w14:textId="77777777" w:rsidR="007C736D" w:rsidRDefault="00662CFB">
      <w:pPr>
        <w:spacing w:line="360" w:lineRule="auto"/>
        <w:ind w:firstLine="480"/>
        <w:rPr>
          <w:bCs/>
          <w:sz w:val="24"/>
        </w:rPr>
      </w:pPr>
      <w:r>
        <w:rPr>
          <w:rFonts w:hint="eastAsia"/>
          <w:bCs/>
          <w:sz w:val="24"/>
        </w:rPr>
        <w:t>（九</w:t>
      </w:r>
      <w:r>
        <w:rPr>
          <w:bCs/>
          <w:sz w:val="24"/>
        </w:rPr>
        <w:t>)</w:t>
      </w:r>
      <w:r>
        <w:rPr>
          <w:rFonts w:hint="eastAsia"/>
          <w:bCs/>
          <w:sz w:val="24"/>
        </w:rPr>
        <w:t>实施侧袋机制期间基金份额持有人大会的特殊约定</w:t>
      </w:r>
      <w:r>
        <w:rPr>
          <w:rFonts w:hint="eastAsia"/>
          <w:bCs/>
          <w:sz w:val="24"/>
        </w:rPr>
        <w:t xml:space="preserve"> </w:t>
      </w:r>
    </w:p>
    <w:p w14:paraId="2B94BC96" w14:textId="77777777" w:rsidR="007C736D" w:rsidRDefault="00662CFB">
      <w:pPr>
        <w:spacing w:line="360" w:lineRule="auto"/>
        <w:ind w:firstLine="48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r>
        <w:rPr>
          <w:rFonts w:hint="eastAsia"/>
          <w:bCs/>
          <w:sz w:val="24"/>
        </w:rPr>
        <w:t xml:space="preserve"> </w:t>
      </w:r>
    </w:p>
    <w:p w14:paraId="2C78D69B" w14:textId="77777777" w:rsidR="007C736D" w:rsidRDefault="00662CFB">
      <w:pPr>
        <w:spacing w:line="360" w:lineRule="auto"/>
        <w:ind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r>
        <w:rPr>
          <w:rFonts w:hint="eastAsia"/>
          <w:bCs/>
          <w:sz w:val="24"/>
        </w:rPr>
        <w:t xml:space="preserve"> </w:t>
      </w:r>
    </w:p>
    <w:p w14:paraId="5ED22EBD" w14:textId="77777777" w:rsidR="007C736D" w:rsidRDefault="00662CFB">
      <w:pPr>
        <w:spacing w:line="360" w:lineRule="auto"/>
        <w:ind w:firstLine="480"/>
        <w:rPr>
          <w:bCs/>
          <w:sz w:val="24"/>
        </w:rPr>
      </w:pPr>
      <w:r>
        <w:rPr>
          <w:rFonts w:hint="eastAsia"/>
          <w:bCs/>
          <w:sz w:val="24"/>
        </w:rPr>
        <w:t>2</w:t>
      </w:r>
      <w:r>
        <w:rPr>
          <w:rFonts w:hint="eastAsia"/>
          <w:bCs/>
          <w:sz w:val="24"/>
        </w:rPr>
        <w:t>、现场开会的到会者在权益登记日代表的基金份额不少于本基金在权益登记日相关基金份额的二分之一（含二分之一）；</w:t>
      </w:r>
      <w:r>
        <w:rPr>
          <w:rFonts w:hint="eastAsia"/>
          <w:bCs/>
          <w:sz w:val="24"/>
        </w:rPr>
        <w:t xml:space="preserve"> </w:t>
      </w:r>
    </w:p>
    <w:p w14:paraId="7C175CA4" w14:textId="77777777" w:rsidR="007C736D" w:rsidRDefault="00662CFB">
      <w:pPr>
        <w:spacing w:line="360" w:lineRule="auto"/>
        <w:ind w:firstLine="480"/>
        <w:rPr>
          <w:bCs/>
          <w:sz w:val="24"/>
        </w:rPr>
      </w:pPr>
      <w:r>
        <w:rPr>
          <w:rFonts w:hint="eastAsia"/>
          <w:bCs/>
          <w:sz w:val="24"/>
        </w:rPr>
        <w:lastRenderedPageBreak/>
        <w:t>3</w:t>
      </w:r>
      <w:r>
        <w:rPr>
          <w:rFonts w:hint="eastAsia"/>
          <w:bCs/>
          <w:sz w:val="24"/>
        </w:rPr>
        <w:t>、通讯开会的直接出具表决意见或授权他人代表出具表决意见的基金份额持有人所持有的基金份额不小于在权益登记日相关基金份额的二分之一（含二分之一）；</w:t>
      </w:r>
      <w:r>
        <w:rPr>
          <w:rFonts w:hint="eastAsia"/>
          <w:bCs/>
          <w:sz w:val="24"/>
        </w:rPr>
        <w:t xml:space="preserve"> </w:t>
      </w:r>
    </w:p>
    <w:p w14:paraId="1CB58722" w14:textId="77777777" w:rsidR="007C736D" w:rsidRDefault="00662CFB">
      <w:pPr>
        <w:spacing w:line="360" w:lineRule="auto"/>
        <w:ind w:firstLine="480"/>
        <w:rPr>
          <w:bCs/>
          <w:sz w:val="24"/>
        </w:rPr>
      </w:pPr>
      <w:r>
        <w:rPr>
          <w:rFonts w:hint="eastAsia"/>
          <w:bCs/>
          <w:sz w:val="24"/>
        </w:rPr>
        <w:t>4</w:t>
      </w:r>
      <w:r>
        <w:rPr>
          <w:rFonts w:hint="eastAsia"/>
          <w:bCs/>
          <w:sz w:val="24"/>
        </w:rPr>
        <w:t>、当参与基金份额持有人大会投票的基金份额持有人所持有的基金份额小于在权益登记日相关基金份额的二分之一，召集人在原公告的基金份额持有人大会召开时间的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r>
        <w:rPr>
          <w:rFonts w:hint="eastAsia"/>
          <w:bCs/>
          <w:sz w:val="24"/>
        </w:rPr>
        <w:t xml:space="preserve"> </w:t>
      </w:r>
    </w:p>
    <w:p w14:paraId="6F7B4A06" w14:textId="77777777" w:rsidR="007C736D" w:rsidRDefault="00662CFB">
      <w:pPr>
        <w:spacing w:line="360" w:lineRule="auto"/>
        <w:ind w:firstLine="480"/>
        <w:rPr>
          <w:bCs/>
          <w:sz w:val="24"/>
        </w:rPr>
      </w:pPr>
      <w:r>
        <w:rPr>
          <w:rFonts w:hint="eastAsia"/>
          <w:bCs/>
          <w:sz w:val="24"/>
        </w:rPr>
        <w:t>5</w:t>
      </w:r>
      <w:r>
        <w:rPr>
          <w:rFonts w:hint="eastAsia"/>
          <w:bCs/>
          <w:sz w:val="24"/>
        </w:rPr>
        <w:t>、现场开会由出席大会的基金份额持有人和代理人所</w:t>
      </w:r>
      <w:r>
        <w:rPr>
          <w:rFonts w:hint="eastAsia"/>
          <w:bCs/>
          <w:sz w:val="24"/>
        </w:rPr>
        <w:t>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w:t>
      </w:r>
      <w:r>
        <w:rPr>
          <w:rFonts w:hint="eastAsia"/>
          <w:bCs/>
          <w:sz w:val="24"/>
        </w:rPr>
        <w:t xml:space="preserve"> </w:t>
      </w:r>
    </w:p>
    <w:p w14:paraId="785E85E3" w14:textId="77777777" w:rsidR="007C736D" w:rsidRDefault="00662CFB">
      <w:pPr>
        <w:spacing w:line="360" w:lineRule="auto"/>
        <w:ind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r>
        <w:rPr>
          <w:rFonts w:hint="eastAsia"/>
          <w:bCs/>
          <w:sz w:val="24"/>
        </w:rPr>
        <w:t xml:space="preserve"> </w:t>
      </w:r>
    </w:p>
    <w:p w14:paraId="6D83D408" w14:textId="77777777" w:rsidR="007C736D" w:rsidRDefault="00662CFB">
      <w:pPr>
        <w:spacing w:line="360" w:lineRule="auto"/>
        <w:ind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r>
        <w:rPr>
          <w:rFonts w:hint="eastAsia"/>
          <w:bCs/>
          <w:sz w:val="24"/>
        </w:rPr>
        <w:t xml:space="preserve"> </w:t>
      </w:r>
    </w:p>
    <w:p w14:paraId="7DB8CFA6" w14:textId="77777777" w:rsidR="007C736D" w:rsidRDefault="00662CFB">
      <w:pPr>
        <w:spacing w:line="360" w:lineRule="auto"/>
        <w:ind w:firstLine="480"/>
        <w:rPr>
          <w:bCs/>
          <w:sz w:val="24"/>
        </w:rPr>
      </w:pPr>
      <w:r>
        <w:rPr>
          <w:rFonts w:hint="eastAsia"/>
          <w:bCs/>
          <w:sz w:val="24"/>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r>
        <w:rPr>
          <w:rFonts w:hint="eastAsia"/>
          <w:bCs/>
          <w:sz w:val="24"/>
        </w:rPr>
        <w:t>。</w:t>
      </w:r>
    </w:p>
    <w:p w14:paraId="34B9187E" w14:textId="77777777" w:rsidR="007C736D" w:rsidRDefault="00662CFB">
      <w:pPr>
        <w:spacing w:line="360" w:lineRule="auto"/>
        <w:ind w:firstLine="480"/>
        <w:rPr>
          <w:bCs/>
          <w:sz w:val="24"/>
        </w:rPr>
      </w:pPr>
      <w:r>
        <w:rPr>
          <w:rFonts w:hint="eastAsia"/>
          <w:bCs/>
          <w:sz w:val="24"/>
        </w:rPr>
        <w:t>侧袋机制实施期间，关于基金份额持有人大会的相关规定以本节特殊约定内容为准，本节没有规定的适用上文相关约定。</w:t>
      </w:r>
    </w:p>
    <w:p w14:paraId="75840707" w14:textId="77777777" w:rsidR="007C736D" w:rsidRDefault="00662CFB">
      <w:pPr>
        <w:spacing w:line="360" w:lineRule="auto"/>
        <w:ind w:firstLineChars="200" w:firstLine="480"/>
        <w:rPr>
          <w:bCs/>
          <w:sz w:val="24"/>
        </w:rPr>
      </w:pPr>
      <w:r>
        <w:rPr>
          <w:bCs/>
          <w:sz w:val="24"/>
        </w:rPr>
        <w:t>(</w:t>
      </w:r>
      <w:r>
        <w:rPr>
          <w:rFonts w:hint="eastAsia"/>
          <w:bCs/>
          <w:sz w:val="24"/>
        </w:rPr>
        <w:t>十</w:t>
      </w:r>
      <w:r>
        <w:rPr>
          <w:bCs/>
          <w:sz w:val="24"/>
        </w:rPr>
        <w:t>)</w:t>
      </w:r>
      <w:r>
        <w:rPr>
          <w:rFonts w:hint="eastAsia"/>
          <w:bCs/>
          <w:sz w:val="24"/>
        </w:rPr>
        <w:t>本部分关于基金份额持有人大会召开事由、召开条件、议事程序、表决条件等规定，凡是直接引用法律法规或监管规则的部分，如将来法律法规或监管规则修改导致相关内容被取消或变更的或法律法规增加新的持有人大会机制的，基金管理人提前公告后，可直接对本部分内容进行修改和调整或补充，无需召开基金份额持有人大会审议。</w:t>
      </w:r>
    </w:p>
    <w:p w14:paraId="22296AA1" w14:textId="77777777" w:rsidR="007C736D" w:rsidRDefault="00662CFB">
      <w:pPr>
        <w:spacing w:line="360" w:lineRule="auto"/>
        <w:ind w:firstLineChars="150" w:firstLine="360"/>
        <w:rPr>
          <w:rFonts w:ascii="宋体" w:eastAsia="宋体" w:hAnsi="宋体"/>
          <w:sz w:val="24"/>
          <w:lang w:bidi="en-US"/>
        </w:rPr>
      </w:pPr>
      <w:r>
        <w:rPr>
          <w:rFonts w:ascii="宋体" w:hAnsi="宋体" w:hint="eastAsia"/>
          <w:sz w:val="24"/>
        </w:rPr>
        <w:t>三、基金收益分配原则</w:t>
      </w:r>
    </w:p>
    <w:p w14:paraId="5586C1C0" w14:textId="77777777" w:rsidR="007C736D" w:rsidRDefault="00662CFB">
      <w:pPr>
        <w:spacing w:line="360" w:lineRule="auto"/>
        <w:ind w:firstLine="540"/>
        <w:rPr>
          <w:bCs/>
          <w:sz w:val="24"/>
        </w:rPr>
      </w:pPr>
      <w:r>
        <w:rPr>
          <w:rFonts w:hint="eastAsia"/>
          <w:bCs/>
          <w:sz w:val="24"/>
        </w:rPr>
        <w:t>1</w:t>
      </w:r>
      <w:r>
        <w:rPr>
          <w:bCs/>
          <w:sz w:val="24"/>
        </w:rPr>
        <w:t>、本基金收益分配方式分两种：现金分红与红利再投资，投资者可选择现金红利或将现金红利自动转为</w:t>
      </w:r>
      <w:r>
        <w:rPr>
          <w:rFonts w:hint="eastAsia"/>
          <w:bCs/>
          <w:sz w:val="24"/>
        </w:rPr>
        <w:t>相应</w:t>
      </w:r>
      <w:r>
        <w:rPr>
          <w:bCs/>
          <w:sz w:val="24"/>
        </w:rPr>
        <w:t>类别的基金份额进行再投资；若投资者不</w:t>
      </w:r>
      <w:r>
        <w:rPr>
          <w:bCs/>
          <w:sz w:val="24"/>
        </w:rPr>
        <w:lastRenderedPageBreak/>
        <w:t>选择，本基金默认的收益分配方式是现金分红；</w:t>
      </w:r>
      <w:r>
        <w:rPr>
          <w:rFonts w:hint="eastAsia"/>
          <w:bCs/>
          <w:sz w:val="24"/>
        </w:rPr>
        <w:t>基金份额持有人可对各类基金份额分别选择不同的分红方式。选择采取红利再投资形式的，红利再投资的份额免收申购费；</w:t>
      </w:r>
    </w:p>
    <w:p w14:paraId="0A20B71B" w14:textId="77777777" w:rsidR="007C736D" w:rsidRDefault="00662CFB">
      <w:pPr>
        <w:spacing w:line="360" w:lineRule="auto"/>
        <w:ind w:firstLine="540"/>
        <w:rPr>
          <w:bCs/>
          <w:sz w:val="24"/>
        </w:rPr>
      </w:pPr>
      <w:r>
        <w:rPr>
          <w:rFonts w:hint="eastAsia"/>
          <w:bCs/>
          <w:sz w:val="24"/>
        </w:rPr>
        <w:t>2</w:t>
      </w:r>
      <w:r>
        <w:rPr>
          <w:bCs/>
          <w:sz w:val="24"/>
        </w:rPr>
        <w:t>、基金收益分配后</w:t>
      </w:r>
      <w:r>
        <w:rPr>
          <w:rFonts w:hint="eastAsia"/>
          <w:bCs/>
          <w:sz w:val="24"/>
        </w:rPr>
        <w:t>各类</w:t>
      </w:r>
      <w:r>
        <w:rPr>
          <w:bCs/>
          <w:sz w:val="24"/>
        </w:rPr>
        <w:t>基金份额净值不能低于面值</w:t>
      </w:r>
      <w:r>
        <w:rPr>
          <w:rFonts w:hint="eastAsia"/>
          <w:bCs/>
          <w:sz w:val="24"/>
        </w:rPr>
        <w:t>，</w:t>
      </w:r>
      <w:r>
        <w:rPr>
          <w:bCs/>
          <w:sz w:val="24"/>
        </w:rPr>
        <w:t>即基金收益分配基准日的</w:t>
      </w:r>
      <w:r>
        <w:rPr>
          <w:rFonts w:hint="eastAsia"/>
          <w:bCs/>
          <w:sz w:val="24"/>
        </w:rPr>
        <w:t>任一类</w:t>
      </w:r>
      <w:r>
        <w:rPr>
          <w:bCs/>
          <w:sz w:val="24"/>
        </w:rPr>
        <w:t>基金份额净值减去每单位</w:t>
      </w:r>
      <w:r>
        <w:rPr>
          <w:rFonts w:hint="eastAsia"/>
          <w:bCs/>
          <w:sz w:val="24"/>
        </w:rPr>
        <w:t>该类</w:t>
      </w:r>
      <w:r>
        <w:rPr>
          <w:bCs/>
          <w:sz w:val="24"/>
        </w:rPr>
        <w:t>基金份额收益分配金额后不能低于面值</w:t>
      </w:r>
      <w:r>
        <w:rPr>
          <w:rFonts w:hint="eastAsia"/>
          <w:bCs/>
          <w:sz w:val="24"/>
        </w:rPr>
        <w:t>；</w:t>
      </w:r>
    </w:p>
    <w:p w14:paraId="0C3D31A7" w14:textId="77777777" w:rsidR="007C736D" w:rsidRDefault="00662CFB">
      <w:pPr>
        <w:spacing w:line="360" w:lineRule="auto"/>
        <w:ind w:firstLine="540"/>
        <w:rPr>
          <w:bCs/>
          <w:sz w:val="24"/>
        </w:rPr>
      </w:pPr>
      <w:r>
        <w:rPr>
          <w:rFonts w:hint="eastAsia"/>
          <w:bCs/>
          <w:sz w:val="24"/>
        </w:rPr>
        <w:t>3</w:t>
      </w:r>
      <w:r>
        <w:rPr>
          <w:rFonts w:hint="eastAsia"/>
          <w:bCs/>
          <w:sz w:val="24"/>
        </w:rPr>
        <w:t>、由于本基金</w:t>
      </w:r>
      <w:r>
        <w:rPr>
          <w:rFonts w:hint="eastAsia"/>
          <w:bCs/>
          <w:sz w:val="24"/>
        </w:rPr>
        <w:t>A</w:t>
      </w:r>
      <w:r>
        <w:rPr>
          <w:rFonts w:hint="eastAsia"/>
          <w:bCs/>
          <w:sz w:val="24"/>
        </w:rPr>
        <w:t>类基金份额不收取销售服务费，</w:t>
      </w:r>
      <w:r>
        <w:rPr>
          <w:rFonts w:hint="eastAsia"/>
          <w:bCs/>
          <w:sz w:val="24"/>
        </w:rPr>
        <w:t xml:space="preserve">C </w:t>
      </w:r>
      <w:r>
        <w:rPr>
          <w:rFonts w:hint="eastAsia"/>
          <w:bCs/>
          <w:sz w:val="24"/>
        </w:rPr>
        <w:t>类基金份额收取销售服务费，各基金份额类别对</w:t>
      </w:r>
      <w:r>
        <w:rPr>
          <w:rFonts w:hint="eastAsia"/>
          <w:bCs/>
          <w:sz w:val="24"/>
        </w:rPr>
        <w:t>应的可供分配利润将有所不同。本基金同一类别每一基金份额享有同等分配权；</w:t>
      </w:r>
    </w:p>
    <w:p w14:paraId="256390BD" w14:textId="77777777" w:rsidR="007C736D" w:rsidRDefault="00662CFB">
      <w:pPr>
        <w:spacing w:line="360" w:lineRule="auto"/>
        <w:ind w:firstLine="540"/>
        <w:rPr>
          <w:bCs/>
          <w:sz w:val="24"/>
        </w:rPr>
      </w:pPr>
      <w:r>
        <w:rPr>
          <w:rFonts w:hint="eastAsia"/>
          <w:bCs/>
          <w:sz w:val="24"/>
        </w:rPr>
        <w:t>4</w:t>
      </w:r>
      <w:r>
        <w:rPr>
          <w:bCs/>
          <w:sz w:val="24"/>
        </w:rPr>
        <w:t>、法律法规或监管机关另有规定的，从其规定。</w:t>
      </w:r>
    </w:p>
    <w:p w14:paraId="133433DC" w14:textId="77777777" w:rsidR="007C736D" w:rsidRDefault="00662CFB">
      <w:pPr>
        <w:spacing w:line="360" w:lineRule="auto"/>
        <w:ind w:firstLine="540"/>
        <w:rPr>
          <w:bCs/>
          <w:sz w:val="24"/>
        </w:rPr>
      </w:pPr>
      <w:r>
        <w:rPr>
          <w:rFonts w:hint="eastAsia"/>
          <w:bCs/>
          <w:sz w:val="24"/>
        </w:rPr>
        <w:t>在不违反法律法规规定及基金合同约定，并对基金份额持有人利益无实质不利影响的前提下，基金管理人与基金托管人协商一致后可对基金收益分配原则和支付方式进行调整，不需召开基金份额持有人大会，但应于变更实施日前在规定媒介及时公告。</w:t>
      </w:r>
    </w:p>
    <w:p w14:paraId="4C434003" w14:textId="77777777" w:rsidR="007C736D" w:rsidRDefault="00662CFB">
      <w:pPr>
        <w:spacing w:line="360" w:lineRule="auto"/>
        <w:ind w:firstLine="480"/>
        <w:rPr>
          <w:rFonts w:ascii="宋体" w:eastAsia="宋体" w:hAnsi="宋体"/>
          <w:sz w:val="24"/>
          <w:lang w:bidi="en-US"/>
        </w:rPr>
      </w:pPr>
      <w:r>
        <w:rPr>
          <w:rFonts w:ascii="宋体" w:hAnsi="宋体" w:hint="eastAsia"/>
          <w:sz w:val="24"/>
        </w:rPr>
        <w:t>四、与基金财产管理、运用有关费用的提取、支付方式与比例</w:t>
      </w:r>
    </w:p>
    <w:p w14:paraId="49D81240" w14:textId="77777777" w:rsidR="007C736D" w:rsidRDefault="00662CFB">
      <w:pPr>
        <w:spacing w:line="360" w:lineRule="auto"/>
        <w:ind w:firstLine="480"/>
        <w:rPr>
          <w:bCs/>
          <w:sz w:val="24"/>
        </w:rPr>
      </w:pPr>
      <w:r>
        <w:rPr>
          <w:rFonts w:hint="eastAsia"/>
          <w:bCs/>
          <w:sz w:val="24"/>
        </w:rPr>
        <w:t>（</w:t>
      </w:r>
      <w:r>
        <w:rPr>
          <w:bCs/>
          <w:sz w:val="24"/>
        </w:rPr>
        <w:t>一</w:t>
      </w:r>
      <w:r>
        <w:rPr>
          <w:rFonts w:hint="eastAsia"/>
          <w:bCs/>
          <w:sz w:val="24"/>
        </w:rPr>
        <w:t>）</w:t>
      </w:r>
      <w:r>
        <w:rPr>
          <w:bCs/>
          <w:sz w:val="24"/>
        </w:rPr>
        <w:t>基金费用的种类</w:t>
      </w:r>
    </w:p>
    <w:p w14:paraId="76F8868E" w14:textId="77777777" w:rsidR="007C736D" w:rsidRDefault="00662CFB">
      <w:pPr>
        <w:spacing w:line="360" w:lineRule="auto"/>
        <w:ind w:firstLine="480"/>
        <w:rPr>
          <w:bCs/>
          <w:sz w:val="24"/>
        </w:rPr>
      </w:pPr>
      <w:r>
        <w:rPr>
          <w:bCs/>
          <w:sz w:val="24"/>
        </w:rPr>
        <w:t>1</w:t>
      </w:r>
      <w:r>
        <w:rPr>
          <w:bCs/>
          <w:sz w:val="24"/>
        </w:rPr>
        <w:t>、基金管理人的管理费；</w:t>
      </w:r>
    </w:p>
    <w:p w14:paraId="42EFD7DD" w14:textId="77777777" w:rsidR="007C736D" w:rsidRDefault="00662CFB">
      <w:pPr>
        <w:spacing w:line="360" w:lineRule="auto"/>
        <w:ind w:firstLine="480"/>
        <w:rPr>
          <w:bCs/>
          <w:sz w:val="24"/>
        </w:rPr>
      </w:pPr>
      <w:r>
        <w:rPr>
          <w:bCs/>
          <w:sz w:val="24"/>
        </w:rPr>
        <w:t>2</w:t>
      </w:r>
      <w:r>
        <w:rPr>
          <w:bCs/>
          <w:sz w:val="24"/>
        </w:rPr>
        <w:t>、基金托管人的托管费；</w:t>
      </w:r>
    </w:p>
    <w:p w14:paraId="0BAB99DD" w14:textId="77777777" w:rsidR="007C736D" w:rsidRDefault="00662CFB">
      <w:pPr>
        <w:spacing w:line="360" w:lineRule="auto"/>
        <w:ind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5696CE9B" w14:textId="77777777" w:rsidR="007C736D" w:rsidRDefault="00662CFB">
      <w:pPr>
        <w:spacing w:line="360" w:lineRule="auto"/>
        <w:ind w:firstLine="480"/>
        <w:rPr>
          <w:bCs/>
          <w:sz w:val="24"/>
        </w:rPr>
      </w:pPr>
      <w:r>
        <w:rPr>
          <w:rFonts w:hint="eastAsia"/>
          <w:bCs/>
          <w:sz w:val="24"/>
        </w:rPr>
        <w:t>4</w:t>
      </w:r>
      <w:r>
        <w:rPr>
          <w:bCs/>
          <w:sz w:val="24"/>
        </w:rPr>
        <w:t>、《基金</w:t>
      </w:r>
      <w:r>
        <w:rPr>
          <w:bCs/>
          <w:sz w:val="24"/>
        </w:rPr>
        <w:t>合同》生效后与基金相关的信息披露费用；</w:t>
      </w:r>
    </w:p>
    <w:p w14:paraId="61A70AAB" w14:textId="77777777" w:rsidR="007C736D" w:rsidRDefault="00662CFB">
      <w:pPr>
        <w:spacing w:line="360" w:lineRule="auto"/>
        <w:ind w:firstLine="480"/>
        <w:rPr>
          <w:bCs/>
          <w:sz w:val="24"/>
        </w:rPr>
      </w:pPr>
      <w:r>
        <w:rPr>
          <w:rFonts w:hint="eastAsia"/>
          <w:bCs/>
          <w:sz w:val="24"/>
        </w:rPr>
        <w:t>5</w:t>
      </w:r>
      <w:r>
        <w:rPr>
          <w:bCs/>
          <w:sz w:val="24"/>
        </w:rPr>
        <w:t>、《基金合同》生效后与基金相关的会计师费、律师费</w:t>
      </w:r>
      <w:r>
        <w:rPr>
          <w:rFonts w:hint="eastAsia"/>
          <w:bCs/>
          <w:sz w:val="24"/>
        </w:rPr>
        <w:t>、</w:t>
      </w:r>
      <w:r>
        <w:rPr>
          <w:bCs/>
          <w:sz w:val="24"/>
        </w:rPr>
        <w:t>诉讼费</w:t>
      </w:r>
      <w:r>
        <w:rPr>
          <w:rFonts w:hint="eastAsia"/>
          <w:bCs/>
          <w:sz w:val="24"/>
        </w:rPr>
        <w:t>和仲裁费</w:t>
      </w:r>
      <w:r>
        <w:rPr>
          <w:bCs/>
          <w:sz w:val="24"/>
        </w:rPr>
        <w:t>；</w:t>
      </w:r>
    </w:p>
    <w:p w14:paraId="50721272" w14:textId="77777777" w:rsidR="007C736D" w:rsidRDefault="00662CFB">
      <w:pPr>
        <w:spacing w:line="360" w:lineRule="auto"/>
        <w:ind w:firstLine="480"/>
        <w:rPr>
          <w:bCs/>
          <w:sz w:val="24"/>
        </w:rPr>
      </w:pPr>
      <w:r>
        <w:rPr>
          <w:rFonts w:hint="eastAsia"/>
          <w:bCs/>
          <w:sz w:val="24"/>
        </w:rPr>
        <w:t>6</w:t>
      </w:r>
      <w:r>
        <w:rPr>
          <w:bCs/>
          <w:sz w:val="24"/>
        </w:rPr>
        <w:t>、基金份额持有人大会费用；</w:t>
      </w:r>
    </w:p>
    <w:p w14:paraId="53DA376F" w14:textId="77777777" w:rsidR="007C736D" w:rsidRDefault="00662CFB">
      <w:pPr>
        <w:spacing w:line="360" w:lineRule="auto"/>
        <w:ind w:firstLine="480"/>
        <w:rPr>
          <w:bCs/>
          <w:sz w:val="24"/>
        </w:rPr>
      </w:pPr>
      <w:r>
        <w:rPr>
          <w:rFonts w:hint="eastAsia"/>
          <w:bCs/>
          <w:sz w:val="24"/>
        </w:rPr>
        <w:t>7</w:t>
      </w:r>
      <w:r>
        <w:rPr>
          <w:bCs/>
          <w:sz w:val="24"/>
        </w:rPr>
        <w:t>、基金的证券</w:t>
      </w:r>
      <w:r>
        <w:rPr>
          <w:rFonts w:hint="eastAsia"/>
          <w:bCs/>
          <w:sz w:val="24"/>
        </w:rPr>
        <w:t>、</w:t>
      </w:r>
      <w:r>
        <w:rPr>
          <w:bCs/>
          <w:sz w:val="24"/>
        </w:rPr>
        <w:t>期货</w:t>
      </w:r>
      <w:r>
        <w:rPr>
          <w:rFonts w:hint="eastAsia"/>
          <w:bCs/>
          <w:sz w:val="24"/>
        </w:rPr>
        <w:t>、股票期权、信用衍生品等</w:t>
      </w:r>
      <w:r>
        <w:rPr>
          <w:bCs/>
          <w:sz w:val="24"/>
        </w:rPr>
        <w:t>交易费用；</w:t>
      </w:r>
    </w:p>
    <w:p w14:paraId="39016818" w14:textId="77777777" w:rsidR="007C736D" w:rsidRDefault="00662CFB">
      <w:pPr>
        <w:spacing w:line="360" w:lineRule="auto"/>
        <w:ind w:firstLine="480"/>
        <w:rPr>
          <w:bCs/>
          <w:sz w:val="24"/>
        </w:rPr>
      </w:pPr>
      <w:r>
        <w:rPr>
          <w:rFonts w:hint="eastAsia"/>
          <w:bCs/>
          <w:sz w:val="24"/>
        </w:rPr>
        <w:t>8</w:t>
      </w:r>
      <w:r>
        <w:rPr>
          <w:bCs/>
          <w:sz w:val="24"/>
        </w:rPr>
        <w:t>、基金的银行汇划费用；</w:t>
      </w:r>
    </w:p>
    <w:p w14:paraId="7FAB41E1" w14:textId="77777777" w:rsidR="007C736D" w:rsidRDefault="00662CFB">
      <w:pPr>
        <w:spacing w:line="360" w:lineRule="auto"/>
        <w:ind w:firstLine="480"/>
        <w:rPr>
          <w:bCs/>
          <w:sz w:val="24"/>
        </w:rPr>
      </w:pPr>
      <w:r>
        <w:rPr>
          <w:rFonts w:hint="eastAsia"/>
          <w:bCs/>
          <w:sz w:val="24"/>
        </w:rPr>
        <w:t>9</w:t>
      </w:r>
      <w:r>
        <w:rPr>
          <w:bCs/>
          <w:sz w:val="24"/>
        </w:rPr>
        <w:t>、</w:t>
      </w:r>
      <w:r>
        <w:rPr>
          <w:rFonts w:hint="eastAsia"/>
          <w:bCs/>
          <w:sz w:val="24"/>
        </w:rPr>
        <w:t>基金的账户开户费用、账户维护费用；</w:t>
      </w:r>
    </w:p>
    <w:p w14:paraId="3A2DF189" w14:textId="77777777" w:rsidR="007C736D" w:rsidRDefault="00662CFB">
      <w:pPr>
        <w:spacing w:line="360" w:lineRule="auto"/>
        <w:ind w:firstLine="480"/>
        <w:rPr>
          <w:sz w:val="24"/>
        </w:rPr>
      </w:pPr>
      <w:r>
        <w:rPr>
          <w:rFonts w:hint="eastAsia"/>
          <w:bCs/>
          <w:sz w:val="24"/>
        </w:rPr>
        <w:t>10</w:t>
      </w:r>
      <w:r>
        <w:rPr>
          <w:rFonts w:hint="eastAsia"/>
          <w:bCs/>
          <w:sz w:val="24"/>
        </w:rPr>
        <w:t>、因投资港股通标的股票资产而产生的各项合理费用；</w:t>
      </w:r>
    </w:p>
    <w:p w14:paraId="695DF03F" w14:textId="77777777" w:rsidR="007C736D" w:rsidRDefault="00662CFB">
      <w:pPr>
        <w:spacing w:line="360" w:lineRule="auto"/>
        <w:ind w:firstLine="480"/>
        <w:rPr>
          <w:bCs/>
          <w:sz w:val="24"/>
        </w:rPr>
      </w:pPr>
      <w:r>
        <w:rPr>
          <w:rFonts w:hint="eastAsia"/>
          <w:bCs/>
          <w:sz w:val="24"/>
        </w:rPr>
        <w:t>11</w:t>
      </w:r>
      <w:r>
        <w:rPr>
          <w:bCs/>
          <w:sz w:val="24"/>
        </w:rPr>
        <w:t>、按照国家有关规定和《基金合同》约定，可以在基金财产中列支的其他费用。</w:t>
      </w:r>
    </w:p>
    <w:p w14:paraId="4BA07272" w14:textId="77777777" w:rsidR="007C736D" w:rsidRDefault="00662CFB">
      <w:pPr>
        <w:spacing w:line="360" w:lineRule="auto"/>
        <w:ind w:firstLine="480"/>
        <w:rPr>
          <w:bCs/>
          <w:sz w:val="24"/>
        </w:rPr>
      </w:pPr>
      <w:r>
        <w:rPr>
          <w:rFonts w:hint="eastAsia"/>
          <w:bCs/>
          <w:sz w:val="24"/>
        </w:rPr>
        <w:t>（</w:t>
      </w:r>
      <w:r>
        <w:rPr>
          <w:bCs/>
          <w:sz w:val="24"/>
        </w:rPr>
        <w:t>二</w:t>
      </w:r>
      <w:r>
        <w:rPr>
          <w:rFonts w:hint="eastAsia"/>
          <w:bCs/>
          <w:sz w:val="24"/>
        </w:rPr>
        <w:t>）</w:t>
      </w:r>
      <w:r>
        <w:rPr>
          <w:bCs/>
          <w:sz w:val="24"/>
        </w:rPr>
        <w:t>基金费用计提方法、计提标准和支付方式</w:t>
      </w:r>
    </w:p>
    <w:p w14:paraId="13311C1D" w14:textId="77777777" w:rsidR="007C736D" w:rsidRDefault="00662CFB">
      <w:pPr>
        <w:spacing w:line="360" w:lineRule="auto"/>
        <w:ind w:firstLine="480"/>
        <w:rPr>
          <w:bCs/>
          <w:sz w:val="24"/>
        </w:rPr>
      </w:pPr>
      <w:r>
        <w:rPr>
          <w:rFonts w:hint="eastAsia"/>
          <w:bCs/>
          <w:sz w:val="24"/>
        </w:rPr>
        <w:lastRenderedPageBreak/>
        <w:t>1</w:t>
      </w:r>
      <w:r>
        <w:rPr>
          <w:rFonts w:hint="eastAsia"/>
          <w:bCs/>
          <w:sz w:val="24"/>
        </w:rPr>
        <w:t>、基金管理人的管理费</w:t>
      </w:r>
    </w:p>
    <w:p w14:paraId="2C6C7B37" w14:textId="77777777" w:rsidR="007C736D" w:rsidRDefault="00662CFB">
      <w:pPr>
        <w:spacing w:line="360" w:lineRule="auto"/>
        <w:ind w:firstLine="480"/>
        <w:rPr>
          <w:bCs/>
          <w:sz w:val="24"/>
        </w:rPr>
      </w:pPr>
      <w:r>
        <w:rPr>
          <w:rFonts w:hint="eastAsia"/>
          <w:bCs/>
          <w:sz w:val="24"/>
        </w:rPr>
        <w:t>本基金的管理费按前一日基金资产净值的</w:t>
      </w:r>
      <w:r>
        <w:rPr>
          <w:rFonts w:hint="eastAsia"/>
          <w:bCs/>
          <w:sz w:val="24"/>
        </w:rPr>
        <w:t>1.20%</w:t>
      </w:r>
      <w:r>
        <w:rPr>
          <w:rFonts w:hint="eastAsia"/>
          <w:bCs/>
          <w:sz w:val="24"/>
        </w:rPr>
        <w:t>年费率计提。管理费的计算方法如下：</w:t>
      </w:r>
    </w:p>
    <w:p w14:paraId="39B055A9" w14:textId="77777777" w:rsidR="007C736D" w:rsidRDefault="00662CFB">
      <w:pPr>
        <w:spacing w:line="360" w:lineRule="auto"/>
        <w:ind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1.20%</w:t>
      </w:r>
      <w:r>
        <w:rPr>
          <w:rFonts w:hint="eastAsia"/>
          <w:bCs/>
          <w:sz w:val="24"/>
        </w:rPr>
        <w:t>÷当年天数</w:t>
      </w:r>
    </w:p>
    <w:p w14:paraId="311A7B23" w14:textId="77777777" w:rsidR="007C736D" w:rsidRDefault="00662CFB">
      <w:pPr>
        <w:spacing w:line="360" w:lineRule="auto"/>
        <w:ind w:firstLine="480"/>
        <w:rPr>
          <w:bCs/>
          <w:sz w:val="24"/>
        </w:rPr>
      </w:pPr>
      <w:r>
        <w:rPr>
          <w:rFonts w:hint="eastAsia"/>
          <w:bCs/>
          <w:sz w:val="24"/>
        </w:rPr>
        <w:t>H</w:t>
      </w:r>
      <w:r>
        <w:rPr>
          <w:rFonts w:hint="eastAsia"/>
          <w:bCs/>
          <w:sz w:val="24"/>
        </w:rPr>
        <w:t>为每日应计提的基金管理费</w:t>
      </w:r>
    </w:p>
    <w:p w14:paraId="3B23C755" w14:textId="77777777" w:rsidR="007C736D" w:rsidRDefault="00662CFB">
      <w:pPr>
        <w:spacing w:line="360" w:lineRule="auto"/>
        <w:ind w:firstLine="480"/>
        <w:rPr>
          <w:bCs/>
          <w:sz w:val="24"/>
        </w:rPr>
      </w:pPr>
      <w:r>
        <w:rPr>
          <w:rFonts w:hint="eastAsia"/>
          <w:bCs/>
          <w:sz w:val="24"/>
        </w:rPr>
        <w:t>E</w:t>
      </w:r>
      <w:r>
        <w:rPr>
          <w:rFonts w:hint="eastAsia"/>
          <w:bCs/>
          <w:sz w:val="24"/>
        </w:rPr>
        <w:t>为前一日的基金资产净值</w:t>
      </w:r>
    </w:p>
    <w:p w14:paraId="7FECCE7A" w14:textId="77777777" w:rsidR="007C736D" w:rsidRDefault="00662CFB">
      <w:pPr>
        <w:spacing w:line="360" w:lineRule="auto"/>
        <w:ind w:firstLine="480"/>
        <w:rPr>
          <w:bCs/>
          <w:sz w:val="24"/>
        </w:rPr>
      </w:pPr>
      <w:r>
        <w:rPr>
          <w:rFonts w:hint="eastAsia"/>
          <w:bCs/>
          <w:sz w:val="24"/>
        </w:rPr>
        <w:t>基金管理费每日计提，按月支付。由基金托管人根据与基金管理人核对一致的财务数据，自动在月初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45007135" w14:textId="77777777" w:rsidR="007C736D" w:rsidRDefault="00662CFB">
      <w:pPr>
        <w:spacing w:line="360" w:lineRule="auto"/>
        <w:ind w:firstLine="480"/>
        <w:rPr>
          <w:bCs/>
          <w:sz w:val="24"/>
        </w:rPr>
      </w:pPr>
      <w:r>
        <w:rPr>
          <w:rFonts w:hint="eastAsia"/>
          <w:bCs/>
          <w:sz w:val="24"/>
        </w:rPr>
        <w:t>2</w:t>
      </w:r>
      <w:r>
        <w:rPr>
          <w:rFonts w:hint="eastAsia"/>
          <w:bCs/>
          <w:sz w:val="24"/>
        </w:rPr>
        <w:t>、基金托管人的托管费</w:t>
      </w:r>
    </w:p>
    <w:p w14:paraId="3B86C743" w14:textId="77777777" w:rsidR="007C736D" w:rsidRDefault="00662CFB">
      <w:pPr>
        <w:spacing w:line="360" w:lineRule="auto"/>
        <w:ind w:firstLine="480"/>
        <w:rPr>
          <w:bCs/>
          <w:sz w:val="24"/>
        </w:rPr>
      </w:pPr>
      <w:r>
        <w:rPr>
          <w:rFonts w:hint="eastAsia"/>
          <w:bCs/>
          <w:sz w:val="24"/>
        </w:rPr>
        <w:t>本基金的托管费按前一日基金资产净值的</w:t>
      </w:r>
      <w:r>
        <w:rPr>
          <w:rFonts w:hint="eastAsia"/>
          <w:bCs/>
          <w:sz w:val="24"/>
        </w:rPr>
        <w:t>0.20%</w:t>
      </w:r>
      <w:r>
        <w:rPr>
          <w:rFonts w:hint="eastAsia"/>
          <w:bCs/>
          <w:sz w:val="24"/>
        </w:rPr>
        <w:t>年费率计提。托管费的计算方法如下：</w:t>
      </w:r>
    </w:p>
    <w:p w14:paraId="7E3EA3F7" w14:textId="77777777" w:rsidR="007C736D" w:rsidRDefault="00662CFB">
      <w:pPr>
        <w:spacing w:line="360" w:lineRule="auto"/>
        <w:ind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0.20%</w:t>
      </w:r>
      <w:r>
        <w:rPr>
          <w:rFonts w:hint="eastAsia"/>
          <w:bCs/>
          <w:sz w:val="24"/>
        </w:rPr>
        <w:t>÷当年天数</w:t>
      </w:r>
    </w:p>
    <w:p w14:paraId="110A2659" w14:textId="77777777" w:rsidR="007C736D" w:rsidRDefault="00662CFB">
      <w:pPr>
        <w:spacing w:line="360" w:lineRule="auto"/>
        <w:ind w:firstLine="480"/>
        <w:rPr>
          <w:bCs/>
          <w:sz w:val="24"/>
        </w:rPr>
      </w:pPr>
      <w:r>
        <w:rPr>
          <w:rFonts w:hint="eastAsia"/>
          <w:bCs/>
          <w:sz w:val="24"/>
        </w:rPr>
        <w:t>H</w:t>
      </w:r>
      <w:r>
        <w:rPr>
          <w:rFonts w:hint="eastAsia"/>
          <w:bCs/>
          <w:sz w:val="24"/>
        </w:rPr>
        <w:t>为每日应计提的基金托管费</w:t>
      </w:r>
    </w:p>
    <w:p w14:paraId="40EF62B5" w14:textId="77777777" w:rsidR="007C736D" w:rsidRDefault="00662CFB">
      <w:pPr>
        <w:spacing w:line="360" w:lineRule="auto"/>
        <w:ind w:firstLine="480"/>
        <w:rPr>
          <w:bCs/>
          <w:sz w:val="24"/>
        </w:rPr>
      </w:pPr>
      <w:r>
        <w:rPr>
          <w:rFonts w:hint="eastAsia"/>
          <w:bCs/>
          <w:sz w:val="24"/>
        </w:rPr>
        <w:t>E</w:t>
      </w:r>
      <w:r>
        <w:rPr>
          <w:rFonts w:hint="eastAsia"/>
          <w:bCs/>
          <w:sz w:val="24"/>
        </w:rPr>
        <w:t>为前一日的基金资产净值</w:t>
      </w:r>
    </w:p>
    <w:p w14:paraId="26784A10" w14:textId="77777777" w:rsidR="007C736D" w:rsidRDefault="00662CFB">
      <w:pPr>
        <w:spacing w:line="360" w:lineRule="auto"/>
        <w:ind w:firstLine="480"/>
        <w:rPr>
          <w:bCs/>
          <w:sz w:val="24"/>
        </w:rPr>
      </w:pPr>
      <w:r>
        <w:rPr>
          <w:rFonts w:hint="eastAsia"/>
          <w:bCs/>
          <w:sz w:val="24"/>
        </w:rPr>
        <w:t>基金托管费每日计提，按月支付。由基金托管人根据与基金管理人核对一致的财务数据，自动在月初</w:t>
      </w:r>
      <w:r>
        <w:rPr>
          <w:rFonts w:hint="eastAsia"/>
          <w:bCs/>
          <w:sz w:val="24"/>
        </w:rPr>
        <w:t>5</w:t>
      </w:r>
      <w:r>
        <w:rPr>
          <w:rFonts w:hint="eastAsia"/>
          <w:bCs/>
          <w:sz w:val="24"/>
        </w:rPr>
        <w:t>个工作日内、按照指定的账户路径进行资金支取，基金管理人无需再出具资金划拨指令。若遇法定节假日、休息日等，支付日期顺延。费用自动扣划后，基金管理人应进行核对，如发现数据不符，及时联系基金托管人协商解决。</w:t>
      </w:r>
    </w:p>
    <w:p w14:paraId="60813889" w14:textId="77777777" w:rsidR="007C736D" w:rsidRDefault="00662CFB">
      <w:pPr>
        <w:spacing w:line="360" w:lineRule="auto"/>
        <w:ind w:firstLine="480"/>
        <w:rPr>
          <w:bCs/>
          <w:sz w:val="24"/>
        </w:rPr>
      </w:pPr>
      <w:r>
        <w:rPr>
          <w:rFonts w:hint="eastAsia"/>
          <w:bCs/>
          <w:sz w:val="24"/>
        </w:rPr>
        <w:t>3</w:t>
      </w:r>
      <w:r>
        <w:rPr>
          <w:rFonts w:hint="eastAsia"/>
          <w:bCs/>
          <w:sz w:val="24"/>
        </w:rPr>
        <w:t>、</w:t>
      </w:r>
      <w:r>
        <w:rPr>
          <w:rFonts w:hint="eastAsia"/>
          <w:bCs/>
          <w:sz w:val="24"/>
        </w:rPr>
        <w:t xml:space="preserve">C </w:t>
      </w:r>
      <w:r>
        <w:rPr>
          <w:rFonts w:hint="eastAsia"/>
          <w:bCs/>
          <w:sz w:val="24"/>
        </w:rPr>
        <w:t>类基金份额的销售服务费</w:t>
      </w:r>
    </w:p>
    <w:p w14:paraId="0FB1B462" w14:textId="77777777" w:rsidR="007C736D" w:rsidRDefault="00662CFB">
      <w:pPr>
        <w:spacing w:line="360" w:lineRule="auto"/>
        <w:ind w:firstLine="480"/>
        <w:rPr>
          <w:bCs/>
          <w:sz w:val="24"/>
        </w:rPr>
      </w:pPr>
      <w:r>
        <w:rPr>
          <w:rFonts w:hint="eastAsia"/>
          <w:bCs/>
          <w:sz w:val="24"/>
        </w:rPr>
        <w:t>本基金</w:t>
      </w:r>
      <w:r>
        <w:rPr>
          <w:rFonts w:hint="eastAsia"/>
          <w:bCs/>
          <w:sz w:val="24"/>
        </w:rPr>
        <w:t xml:space="preserve"> A </w:t>
      </w:r>
      <w:r>
        <w:rPr>
          <w:rFonts w:hint="eastAsia"/>
          <w:bCs/>
          <w:sz w:val="24"/>
        </w:rPr>
        <w:t>类基金份额</w:t>
      </w:r>
      <w:r>
        <w:rPr>
          <w:rFonts w:hint="eastAsia"/>
          <w:bCs/>
          <w:sz w:val="24"/>
        </w:rPr>
        <w:t>不收取销售服务费，</w:t>
      </w:r>
      <w:r>
        <w:rPr>
          <w:rFonts w:hint="eastAsia"/>
          <w:bCs/>
          <w:sz w:val="24"/>
        </w:rPr>
        <w:t xml:space="preserve">C </w:t>
      </w:r>
      <w:r>
        <w:rPr>
          <w:rFonts w:hint="eastAsia"/>
          <w:bCs/>
          <w:sz w:val="24"/>
        </w:rPr>
        <w:t>类基金份额的销售服务费按前一日</w:t>
      </w:r>
      <w:r>
        <w:rPr>
          <w:rFonts w:hint="eastAsia"/>
          <w:bCs/>
          <w:sz w:val="24"/>
        </w:rPr>
        <w:t>C</w:t>
      </w:r>
      <w:r>
        <w:rPr>
          <w:rFonts w:hint="eastAsia"/>
          <w:bCs/>
          <w:sz w:val="24"/>
        </w:rPr>
        <w:t>类基金份额基金资产净值的</w:t>
      </w:r>
      <w:r>
        <w:rPr>
          <w:rFonts w:hint="eastAsia"/>
          <w:bCs/>
          <w:sz w:val="24"/>
        </w:rPr>
        <w:t>0.60%</w:t>
      </w:r>
      <w:r>
        <w:rPr>
          <w:rFonts w:hint="eastAsia"/>
          <w:bCs/>
          <w:sz w:val="24"/>
        </w:rPr>
        <w:t>年费率计提。计算方法如下：</w:t>
      </w:r>
    </w:p>
    <w:p w14:paraId="74CEDCC1" w14:textId="77777777" w:rsidR="007C736D" w:rsidRDefault="00662CFB">
      <w:pPr>
        <w:spacing w:line="360" w:lineRule="auto"/>
        <w:ind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0.60%</w:t>
      </w:r>
      <w:r>
        <w:rPr>
          <w:rFonts w:hint="eastAsia"/>
          <w:bCs/>
          <w:sz w:val="24"/>
        </w:rPr>
        <w:t>÷当年天数</w:t>
      </w:r>
    </w:p>
    <w:p w14:paraId="30A35DA0" w14:textId="77777777" w:rsidR="007C736D" w:rsidRDefault="00662CFB">
      <w:pPr>
        <w:spacing w:line="360" w:lineRule="auto"/>
        <w:ind w:firstLine="480"/>
        <w:rPr>
          <w:bCs/>
          <w:sz w:val="24"/>
        </w:rPr>
      </w:pPr>
      <w:r>
        <w:rPr>
          <w:rFonts w:hint="eastAsia"/>
          <w:bCs/>
          <w:sz w:val="24"/>
        </w:rPr>
        <w:t xml:space="preserve">H </w:t>
      </w:r>
      <w:r>
        <w:rPr>
          <w:rFonts w:hint="eastAsia"/>
          <w:bCs/>
          <w:sz w:val="24"/>
        </w:rPr>
        <w:t>为</w:t>
      </w:r>
      <w:r>
        <w:rPr>
          <w:rFonts w:hint="eastAsia"/>
          <w:bCs/>
          <w:sz w:val="24"/>
        </w:rPr>
        <w:t>C</w:t>
      </w:r>
      <w:r>
        <w:rPr>
          <w:rFonts w:hint="eastAsia"/>
          <w:bCs/>
          <w:sz w:val="24"/>
        </w:rPr>
        <w:t>类基金份额每日应计提的销售服务费</w:t>
      </w:r>
    </w:p>
    <w:p w14:paraId="61184C4E" w14:textId="77777777" w:rsidR="007C736D" w:rsidRDefault="00662CFB">
      <w:pPr>
        <w:spacing w:line="360" w:lineRule="auto"/>
        <w:ind w:firstLine="480"/>
        <w:rPr>
          <w:bCs/>
          <w:sz w:val="24"/>
        </w:rPr>
      </w:pPr>
      <w:r>
        <w:rPr>
          <w:rFonts w:hint="eastAsia"/>
          <w:bCs/>
          <w:sz w:val="24"/>
        </w:rPr>
        <w:t xml:space="preserve">E </w:t>
      </w:r>
      <w:r>
        <w:rPr>
          <w:rFonts w:hint="eastAsia"/>
          <w:bCs/>
          <w:sz w:val="24"/>
        </w:rPr>
        <w:t>为</w:t>
      </w:r>
      <w:r>
        <w:rPr>
          <w:rFonts w:hint="eastAsia"/>
          <w:bCs/>
          <w:sz w:val="24"/>
        </w:rPr>
        <w:t>C</w:t>
      </w:r>
      <w:r>
        <w:rPr>
          <w:rFonts w:hint="eastAsia"/>
          <w:bCs/>
          <w:sz w:val="24"/>
        </w:rPr>
        <w:t>类基金份额前一日基金资产净值</w:t>
      </w:r>
    </w:p>
    <w:p w14:paraId="34A3C278" w14:textId="77777777" w:rsidR="007C736D" w:rsidRDefault="00662CFB">
      <w:pPr>
        <w:spacing w:line="360" w:lineRule="auto"/>
        <w:ind w:firstLine="480"/>
        <w:rPr>
          <w:bCs/>
          <w:sz w:val="24"/>
        </w:rPr>
      </w:pPr>
      <w:r>
        <w:rPr>
          <w:rFonts w:hint="eastAsia"/>
          <w:bCs/>
          <w:sz w:val="24"/>
        </w:rPr>
        <w:t xml:space="preserve">C </w:t>
      </w:r>
      <w:r>
        <w:rPr>
          <w:rFonts w:hint="eastAsia"/>
          <w:bCs/>
          <w:sz w:val="24"/>
        </w:rPr>
        <w:t>类基金份额的基金销售服务费每日计提，按月支付。由基金托管人根据</w:t>
      </w:r>
      <w:r>
        <w:rPr>
          <w:rFonts w:hint="eastAsia"/>
          <w:bCs/>
          <w:sz w:val="24"/>
        </w:rPr>
        <w:lastRenderedPageBreak/>
        <w:t>与基金管理人核对一致的财务数据，自动在月初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w:t>
      </w:r>
      <w:r>
        <w:rPr>
          <w:rFonts w:hint="eastAsia"/>
          <w:bCs/>
          <w:sz w:val="24"/>
        </w:rPr>
        <w:t>联系基金托管人协商解决。</w:t>
      </w:r>
    </w:p>
    <w:p w14:paraId="75FCAE67" w14:textId="77777777" w:rsidR="007C736D" w:rsidRDefault="00662CFB">
      <w:pPr>
        <w:spacing w:line="360" w:lineRule="auto"/>
        <w:ind w:firstLine="480"/>
        <w:rPr>
          <w:bCs/>
          <w:sz w:val="24"/>
        </w:rPr>
      </w:pPr>
      <w:r>
        <w:rPr>
          <w:rFonts w:hint="eastAsia"/>
          <w:bCs/>
          <w:sz w:val="24"/>
        </w:rPr>
        <w:t>上述“（一）基金费用的种类”中第</w:t>
      </w:r>
      <w:r>
        <w:rPr>
          <w:rFonts w:hint="eastAsia"/>
          <w:bCs/>
          <w:sz w:val="24"/>
        </w:rPr>
        <w:t>4</w:t>
      </w:r>
      <w:r>
        <w:rPr>
          <w:rFonts w:hint="eastAsia"/>
          <w:bCs/>
          <w:sz w:val="24"/>
        </w:rPr>
        <w:t>－</w:t>
      </w:r>
      <w:r>
        <w:rPr>
          <w:rFonts w:hint="eastAsia"/>
          <w:bCs/>
          <w:sz w:val="24"/>
        </w:rPr>
        <w:t>11</w:t>
      </w:r>
      <w:r>
        <w:rPr>
          <w:rFonts w:hint="eastAsia"/>
          <w:bCs/>
          <w:sz w:val="24"/>
        </w:rPr>
        <w:t>项费用，根据有关法规及相应协议规定，按费用实际支出金额列入当期费用，由基金托管人从基金财产中支付。</w:t>
      </w:r>
    </w:p>
    <w:p w14:paraId="75D699D7" w14:textId="77777777" w:rsidR="007C736D" w:rsidRDefault="00662CFB">
      <w:pPr>
        <w:spacing w:line="360" w:lineRule="auto"/>
        <w:ind w:firstLine="480"/>
        <w:rPr>
          <w:rFonts w:ascii="宋体" w:eastAsia="宋体" w:hAnsi="宋体"/>
          <w:sz w:val="24"/>
          <w:lang w:bidi="en-US"/>
        </w:rPr>
      </w:pPr>
      <w:r>
        <w:rPr>
          <w:rFonts w:ascii="宋体" w:hAnsi="宋体" w:hint="eastAsia"/>
          <w:sz w:val="24"/>
        </w:rPr>
        <w:t>五、基金财产的投资方向和投资限制</w:t>
      </w:r>
    </w:p>
    <w:p w14:paraId="43298A84" w14:textId="77777777" w:rsidR="007C736D" w:rsidRDefault="00662CFB">
      <w:pPr>
        <w:spacing w:line="360" w:lineRule="auto"/>
        <w:ind w:firstLine="480"/>
        <w:rPr>
          <w:rFonts w:ascii="宋体" w:eastAsia="宋体" w:hAnsi="宋体"/>
          <w:sz w:val="24"/>
          <w:lang w:bidi="en-US"/>
        </w:rPr>
      </w:pPr>
      <w:r>
        <w:rPr>
          <w:rFonts w:ascii="宋体" w:hAnsi="宋体" w:hint="eastAsia"/>
          <w:sz w:val="24"/>
        </w:rPr>
        <w:t>（一）投资范围</w:t>
      </w:r>
    </w:p>
    <w:p w14:paraId="07E12BCD" w14:textId="77777777" w:rsidR="007C736D" w:rsidRDefault="00662CFB">
      <w:pPr>
        <w:spacing w:line="360" w:lineRule="auto"/>
        <w:ind w:firstLine="480"/>
        <w:rPr>
          <w:bCs/>
          <w:sz w:val="24"/>
        </w:rPr>
      </w:pPr>
      <w:r>
        <w:rPr>
          <w:rFonts w:hint="eastAsia"/>
          <w:bCs/>
          <w:sz w:val="24"/>
        </w:rPr>
        <w:t>本基金的投资范围包括国内依法发行上市的股票（包括主板、创业板及其他中国证监会允许基金投资的股票、存托凭证）、港股通标的股票、衍生工具（股指期货、国债期货、股票期权）、债券（包括国债、央行票据、金融债券、企业债券、公司债券、次级债券、可转换债券、分离交易可转换债券、可交换债券、中期票据、短期融资券</w:t>
      </w:r>
      <w:r>
        <w:rPr>
          <w:rFonts w:hint="eastAsia"/>
          <w:bCs/>
          <w:sz w:val="24"/>
        </w:rPr>
        <w:t>、超短期融资券、地方政府债券、政府支持机构债券、政府支持债券）、资产支持证券、信用衍生品、债券回购、银行存款（包括协议存款、定期存款及其他银行存款）、同业存单、货币市场工具、现金等，以及法律法规或中国证监会允许基金投资的其他金融工具，但须符合中国证监会的相关规定。</w:t>
      </w:r>
    </w:p>
    <w:p w14:paraId="1F784422" w14:textId="77777777" w:rsidR="007C736D" w:rsidRDefault="00662CFB">
      <w:pPr>
        <w:spacing w:line="360" w:lineRule="auto"/>
        <w:ind w:firstLine="480"/>
        <w:rPr>
          <w:bCs/>
          <w:sz w:val="24"/>
        </w:rPr>
      </w:pPr>
      <w:r>
        <w:rPr>
          <w:rFonts w:hint="eastAsia"/>
          <w:bCs/>
          <w:sz w:val="24"/>
        </w:rPr>
        <w:t>如法律法规或监管机构以后允许基金投资其他品种，基金管理人在履行适当程序后，可以将其纳入投资范围。</w:t>
      </w:r>
    </w:p>
    <w:p w14:paraId="0DEC50B6" w14:textId="77777777" w:rsidR="007C736D" w:rsidRDefault="00662CFB">
      <w:pPr>
        <w:spacing w:line="360" w:lineRule="auto"/>
        <w:ind w:firstLine="480"/>
        <w:rPr>
          <w:bCs/>
          <w:sz w:val="24"/>
        </w:rPr>
      </w:pPr>
      <w:r>
        <w:rPr>
          <w:rFonts w:hint="eastAsia"/>
          <w:bCs/>
          <w:sz w:val="24"/>
        </w:rPr>
        <w:t>本基金投资组合中股票投资比例为基金资产的</w:t>
      </w:r>
      <w:r>
        <w:rPr>
          <w:rFonts w:hint="eastAsia"/>
          <w:bCs/>
          <w:sz w:val="24"/>
        </w:rPr>
        <w:t>60%-95%</w:t>
      </w:r>
      <w:r>
        <w:rPr>
          <w:rFonts w:hint="eastAsia"/>
          <w:bCs/>
          <w:sz w:val="24"/>
        </w:rPr>
        <w:t>，其中投资于本基金定义的科技主题相关上市公司股票不低于非现金基金资产的</w:t>
      </w:r>
      <w:r>
        <w:rPr>
          <w:rFonts w:hint="eastAsia"/>
          <w:bCs/>
          <w:sz w:val="24"/>
        </w:rPr>
        <w:t>80%</w:t>
      </w:r>
      <w:r>
        <w:rPr>
          <w:rFonts w:hint="eastAsia"/>
          <w:bCs/>
          <w:sz w:val="24"/>
        </w:rPr>
        <w:t>，投资于港股通标的</w:t>
      </w:r>
      <w:r>
        <w:rPr>
          <w:rFonts w:hint="eastAsia"/>
          <w:bCs/>
          <w:sz w:val="24"/>
        </w:rPr>
        <w:t>股票占非现金基金资产的比例不低于</w:t>
      </w:r>
      <w:r>
        <w:rPr>
          <w:rFonts w:hint="eastAsia"/>
          <w:bCs/>
          <w:sz w:val="24"/>
        </w:rPr>
        <w:t>80%</w:t>
      </w:r>
      <w:r>
        <w:rPr>
          <w:rFonts w:hint="eastAsia"/>
          <w:bCs/>
          <w:sz w:val="24"/>
        </w:rPr>
        <w:t>。本基金每个交易日日终在扣除股指期货、国债期货和股票期权合约需缴纳的交易保证金后，应当保持不低于基金资产净值</w:t>
      </w:r>
      <w:r>
        <w:rPr>
          <w:rFonts w:hint="eastAsia"/>
          <w:bCs/>
          <w:sz w:val="24"/>
        </w:rPr>
        <w:t>5%</w:t>
      </w:r>
      <w:r>
        <w:rPr>
          <w:rFonts w:hint="eastAsia"/>
          <w:bCs/>
          <w:sz w:val="24"/>
        </w:rPr>
        <w:t>的现金或者到期日在一年以内的政府债券，其中现金不包括结算备付金、存出保证金及应收申购款等。</w:t>
      </w:r>
    </w:p>
    <w:p w14:paraId="50D13D83" w14:textId="77777777" w:rsidR="007C736D" w:rsidRDefault="00662CFB">
      <w:pPr>
        <w:spacing w:line="360" w:lineRule="auto"/>
        <w:ind w:firstLine="480"/>
        <w:rPr>
          <w:bCs/>
          <w:sz w:val="24"/>
        </w:rPr>
      </w:pPr>
      <w:r>
        <w:rPr>
          <w:rFonts w:hint="eastAsia"/>
          <w:bCs/>
          <w:sz w:val="24"/>
        </w:rPr>
        <w:t>如法律法规或中国证监会变更投资品种的投资比例限制，基金管理人在履行适当程序后，可以调整上述投资品种的投资比例。</w:t>
      </w:r>
    </w:p>
    <w:p w14:paraId="5008187D" w14:textId="77777777" w:rsidR="007C736D" w:rsidRDefault="00662CFB">
      <w:pPr>
        <w:spacing w:line="360" w:lineRule="auto"/>
        <w:ind w:firstLine="480"/>
        <w:rPr>
          <w:rFonts w:ascii="宋体" w:eastAsia="宋体" w:hAnsi="宋体"/>
          <w:sz w:val="24"/>
          <w:lang w:bidi="en-US"/>
        </w:rPr>
      </w:pPr>
      <w:r>
        <w:rPr>
          <w:rFonts w:ascii="宋体" w:hAnsi="宋体" w:hint="eastAsia"/>
          <w:sz w:val="24"/>
        </w:rPr>
        <w:t>（二）投资限制</w:t>
      </w:r>
    </w:p>
    <w:p w14:paraId="3F10282E" w14:textId="77777777" w:rsidR="007C736D" w:rsidRDefault="00662CFB">
      <w:pPr>
        <w:spacing w:line="360" w:lineRule="auto"/>
        <w:ind w:firstLine="480"/>
        <w:rPr>
          <w:bCs/>
          <w:sz w:val="24"/>
        </w:rPr>
      </w:pPr>
      <w:r>
        <w:rPr>
          <w:rFonts w:hint="eastAsia"/>
          <w:bCs/>
          <w:sz w:val="24"/>
        </w:rPr>
        <w:lastRenderedPageBreak/>
        <w:t>1</w:t>
      </w:r>
      <w:r>
        <w:rPr>
          <w:rFonts w:hint="eastAsia"/>
          <w:bCs/>
          <w:sz w:val="24"/>
        </w:rPr>
        <w:t>、组合限制</w:t>
      </w:r>
    </w:p>
    <w:p w14:paraId="39D3FC4B" w14:textId="77777777" w:rsidR="007C736D" w:rsidRDefault="00662CFB">
      <w:pPr>
        <w:spacing w:line="360" w:lineRule="auto"/>
        <w:ind w:firstLine="480"/>
        <w:rPr>
          <w:bCs/>
          <w:sz w:val="24"/>
        </w:rPr>
      </w:pPr>
      <w:r>
        <w:rPr>
          <w:rFonts w:hint="eastAsia"/>
          <w:bCs/>
          <w:sz w:val="24"/>
        </w:rPr>
        <w:t>基金的投资组合应遵循以下限制：</w:t>
      </w:r>
    </w:p>
    <w:p w14:paraId="28276A13" w14:textId="77777777" w:rsidR="007C736D" w:rsidRDefault="00662CFB">
      <w:pPr>
        <w:spacing w:line="360" w:lineRule="auto"/>
        <w:ind w:firstLine="480"/>
        <w:rPr>
          <w:bCs/>
          <w:sz w:val="24"/>
        </w:rPr>
      </w:pPr>
      <w:r>
        <w:rPr>
          <w:rFonts w:hint="eastAsia"/>
          <w:bCs/>
          <w:sz w:val="24"/>
        </w:rPr>
        <w:t>（</w:t>
      </w:r>
      <w:r>
        <w:rPr>
          <w:rFonts w:hint="eastAsia"/>
          <w:bCs/>
          <w:sz w:val="24"/>
        </w:rPr>
        <w:t>1</w:t>
      </w:r>
      <w:r>
        <w:rPr>
          <w:rFonts w:hint="eastAsia"/>
          <w:bCs/>
          <w:sz w:val="24"/>
        </w:rPr>
        <w:t>）本基金投资组合中股票投资比例为基金资产的</w:t>
      </w:r>
      <w:r>
        <w:rPr>
          <w:rFonts w:hint="eastAsia"/>
          <w:bCs/>
          <w:sz w:val="24"/>
        </w:rPr>
        <w:t>60%-95%</w:t>
      </w:r>
      <w:r>
        <w:rPr>
          <w:rFonts w:hint="eastAsia"/>
          <w:bCs/>
          <w:sz w:val="24"/>
        </w:rPr>
        <w:t>，其中投资于本基金定义的科技主题相关上市公司股票不低于非现金基金资产的</w:t>
      </w:r>
      <w:r>
        <w:rPr>
          <w:rFonts w:hint="eastAsia"/>
          <w:bCs/>
          <w:sz w:val="24"/>
        </w:rPr>
        <w:t>80%</w:t>
      </w:r>
      <w:r>
        <w:rPr>
          <w:rFonts w:hint="eastAsia"/>
          <w:bCs/>
          <w:sz w:val="24"/>
        </w:rPr>
        <w:t>，投资于港股通标的股票占非现金基金资产的比例不低于</w:t>
      </w:r>
      <w:r>
        <w:rPr>
          <w:rFonts w:hint="eastAsia"/>
          <w:bCs/>
          <w:sz w:val="24"/>
        </w:rPr>
        <w:t>80%</w:t>
      </w:r>
      <w:r>
        <w:rPr>
          <w:rFonts w:hint="eastAsia"/>
          <w:bCs/>
          <w:sz w:val="24"/>
        </w:rPr>
        <w:t>；</w:t>
      </w:r>
    </w:p>
    <w:p w14:paraId="6676B12F" w14:textId="77777777" w:rsidR="007C736D" w:rsidRDefault="00662CFB">
      <w:pPr>
        <w:spacing w:line="360" w:lineRule="auto"/>
        <w:ind w:firstLine="480"/>
        <w:rPr>
          <w:bCs/>
          <w:sz w:val="24"/>
        </w:rPr>
      </w:pPr>
      <w:r>
        <w:rPr>
          <w:rFonts w:hint="eastAsia"/>
          <w:bCs/>
          <w:sz w:val="24"/>
        </w:rPr>
        <w:t>（</w:t>
      </w:r>
      <w:r>
        <w:rPr>
          <w:rFonts w:hint="eastAsia"/>
          <w:bCs/>
          <w:sz w:val="24"/>
        </w:rPr>
        <w:t>2</w:t>
      </w:r>
      <w:r>
        <w:rPr>
          <w:rFonts w:hint="eastAsia"/>
          <w:bCs/>
          <w:sz w:val="24"/>
        </w:rPr>
        <w:t>）每个交易日日终在扣除股指期货、国债期货和股票期权合约需缴纳的交易保证金后，基金保留的现金或到期日在一年以内的政府债券的投资比例不低于基金资产净值的</w:t>
      </w:r>
      <w:r>
        <w:rPr>
          <w:rFonts w:hint="eastAsia"/>
          <w:bCs/>
          <w:sz w:val="24"/>
        </w:rPr>
        <w:t>5%</w:t>
      </w:r>
      <w:r>
        <w:rPr>
          <w:rFonts w:hint="eastAsia"/>
          <w:bCs/>
          <w:sz w:val="24"/>
        </w:rPr>
        <w:t>，现金不包括结算备付金、存出保证金、应收申购款等；</w:t>
      </w:r>
      <w:r>
        <w:rPr>
          <w:rFonts w:hint="eastAsia"/>
          <w:bCs/>
          <w:sz w:val="24"/>
        </w:rPr>
        <w:t xml:space="preserve"> </w:t>
      </w:r>
    </w:p>
    <w:p w14:paraId="78DBB863" w14:textId="77777777" w:rsidR="007C736D" w:rsidRDefault="00662CFB">
      <w:pPr>
        <w:spacing w:line="360" w:lineRule="auto"/>
        <w:ind w:firstLine="480"/>
        <w:rPr>
          <w:bCs/>
          <w:sz w:val="24"/>
        </w:rPr>
      </w:pPr>
      <w:r>
        <w:rPr>
          <w:rFonts w:hint="eastAsia"/>
          <w:bCs/>
          <w:sz w:val="24"/>
        </w:rPr>
        <w:t>（</w:t>
      </w:r>
      <w:r>
        <w:rPr>
          <w:rFonts w:hint="eastAsia"/>
          <w:bCs/>
          <w:sz w:val="24"/>
        </w:rPr>
        <w:t>3</w:t>
      </w:r>
      <w:r>
        <w:rPr>
          <w:rFonts w:hint="eastAsia"/>
          <w:bCs/>
          <w:sz w:val="24"/>
        </w:rPr>
        <w:t>）本基金持有一家公司发行的证券（同一家公司在内地和香港同时上市的</w:t>
      </w:r>
      <w:r>
        <w:rPr>
          <w:rFonts w:hint="eastAsia"/>
          <w:bCs/>
          <w:sz w:val="24"/>
        </w:rPr>
        <w:t xml:space="preserve"> A+H </w:t>
      </w:r>
      <w:r>
        <w:rPr>
          <w:rFonts w:hint="eastAsia"/>
          <w:bCs/>
          <w:sz w:val="24"/>
        </w:rPr>
        <w:t>股合计计算），其市值不超过基</w:t>
      </w:r>
      <w:r>
        <w:rPr>
          <w:rFonts w:hint="eastAsia"/>
          <w:bCs/>
          <w:sz w:val="24"/>
        </w:rPr>
        <w:t>金资产净值的</w:t>
      </w:r>
      <w:r>
        <w:rPr>
          <w:rFonts w:hint="eastAsia"/>
          <w:bCs/>
          <w:sz w:val="24"/>
        </w:rPr>
        <w:t xml:space="preserve">10%;   </w:t>
      </w:r>
    </w:p>
    <w:p w14:paraId="5E2ACF1D" w14:textId="77777777" w:rsidR="007C736D" w:rsidRDefault="00662CFB">
      <w:pPr>
        <w:spacing w:line="360" w:lineRule="auto"/>
        <w:ind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）本基金管理人管理的全部基金持有一家公司发行的证券（同一家公司在内地和香港同时上市的</w:t>
      </w:r>
      <w:r>
        <w:rPr>
          <w:rFonts w:hint="eastAsia"/>
          <w:bCs/>
          <w:sz w:val="24"/>
        </w:rPr>
        <w:t xml:space="preserve"> A+H </w:t>
      </w:r>
      <w:r>
        <w:rPr>
          <w:rFonts w:hint="eastAsia"/>
          <w:bCs/>
          <w:sz w:val="24"/>
        </w:rPr>
        <w:t>股合计计算），不超过该证券的</w:t>
      </w:r>
      <w:r>
        <w:rPr>
          <w:rFonts w:hint="eastAsia"/>
          <w:bCs/>
          <w:sz w:val="24"/>
        </w:rPr>
        <w:t>10%</w:t>
      </w:r>
      <w:r>
        <w:rPr>
          <w:rFonts w:hint="eastAsia"/>
          <w:bCs/>
          <w:sz w:val="24"/>
        </w:rPr>
        <w:t>，完全按照有关指数的构成比例进行证券投资的基金品种可以不受此条款规定的比例限制；</w:t>
      </w:r>
    </w:p>
    <w:p w14:paraId="30156896" w14:textId="77777777" w:rsidR="007C736D" w:rsidRDefault="00662CFB">
      <w:pPr>
        <w:spacing w:line="360" w:lineRule="auto"/>
        <w:ind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r>
        <w:rPr>
          <w:rFonts w:hint="eastAsia"/>
          <w:bCs/>
          <w:sz w:val="24"/>
        </w:rPr>
        <w:t xml:space="preserve"> </w:t>
      </w:r>
    </w:p>
    <w:p w14:paraId="37B3C6BC" w14:textId="77777777" w:rsidR="007C736D" w:rsidRDefault="00662CFB">
      <w:pPr>
        <w:spacing w:line="360" w:lineRule="auto"/>
        <w:ind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7ECDEA24" w14:textId="77777777" w:rsidR="007C736D" w:rsidRDefault="00662CFB">
      <w:pPr>
        <w:spacing w:line="360" w:lineRule="auto"/>
        <w:ind w:firstLine="480"/>
        <w:rPr>
          <w:bCs/>
          <w:sz w:val="24"/>
        </w:rPr>
      </w:pPr>
      <w:r>
        <w:rPr>
          <w:rFonts w:hint="eastAsia"/>
          <w:bCs/>
          <w:sz w:val="24"/>
        </w:rPr>
        <w:t>（</w:t>
      </w:r>
      <w:r>
        <w:rPr>
          <w:rFonts w:hint="eastAsia"/>
          <w:bCs/>
          <w:sz w:val="24"/>
        </w:rPr>
        <w:t>7</w:t>
      </w:r>
      <w:r>
        <w:rPr>
          <w:rFonts w:hint="eastAsia"/>
          <w:bCs/>
          <w:sz w:val="24"/>
        </w:rPr>
        <w:t>）本基金持有的同一</w:t>
      </w:r>
      <w:r>
        <w:rPr>
          <w:rFonts w:hint="eastAsia"/>
          <w:bCs/>
          <w:sz w:val="24"/>
        </w:rPr>
        <w:t>(</w:t>
      </w:r>
      <w:r>
        <w:rPr>
          <w:rFonts w:hint="eastAsia"/>
          <w:bCs/>
          <w:sz w:val="24"/>
        </w:rPr>
        <w:t>指同一信用级别</w:t>
      </w:r>
      <w:r>
        <w:rPr>
          <w:rFonts w:hint="eastAsia"/>
          <w:bCs/>
          <w:sz w:val="24"/>
        </w:rPr>
        <w:t>)</w:t>
      </w:r>
      <w:r>
        <w:rPr>
          <w:rFonts w:hint="eastAsia"/>
          <w:bCs/>
          <w:sz w:val="24"/>
        </w:rPr>
        <w:t>资产支持证券的比例，不得超过该资产支持证券规模的</w:t>
      </w:r>
      <w:r>
        <w:rPr>
          <w:rFonts w:hint="eastAsia"/>
          <w:bCs/>
          <w:sz w:val="24"/>
        </w:rPr>
        <w:t>10</w:t>
      </w:r>
      <w:r>
        <w:rPr>
          <w:rFonts w:hint="eastAsia"/>
          <w:bCs/>
          <w:sz w:val="24"/>
        </w:rPr>
        <w:t>％；</w:t>
      </w:r>
    </w:p>
    <w:p w14:paraId="029A3FD5" w14:textId="77777777" w:rsidR="007C736D" w:rsidRDefault="00662CFB">
      <w:pPr>
        <w:spacing w:line="360" w:lineRule="auto"/>
        <w:ind w:firstLine="480"/>
        <w:rPr>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43141CF3" w14:textId="77777777" w:rsidR="007C736D" w:rsidRDefault="00662CFB">
      <w:pPr>
        <w:spacing w:line="360" w:lineRule="auto"/>
        <w:ind w:firstLine="480"/>
        <w:rPr>
          <w:bCs/>
          <w:sz w:val="24"/>
        </w:rPr>
      </w:pPr>
      <w:r>
        <w:rPr>
          <w:rFonts w:hint="eastAsia"/>
          <w:bCs/>
          <w:sz w:val="24"/>
        </w:rPr>
        <w:t>（</w:t>
      </w:r>
      <w:r>
        <w:rPr>
          <w:rFonts w:hint="eastAsia"/>
          <w:bCs/>
          <w:sz w:val="24"/>
        </w:rPr>
        <w:t>9</w:t>
      </w:r>
      <w:r>
        <w:rPr>
          <w:rFonts w:hint="eastAsia"/>
          <w:bCs/>
          <w:sz w:val="24"/>
        </w:rPr>
        <w:t>）本基金应投资于信用级别评级为</w:t>
      </w:r>
      <w:r>
        <w:rPr>
          <w:rFonts w:hint="eastAsia"/>
          <w:bCs/>
          <w:sz w:val="24"/>
        </w:rPr>
        <w:t xml:space="preserve"> BBB </w:t>
      </w:r>
      <w:r>
        <w:rPr>
          <w:rFonts w:hint="eastAsia"/>
          <w:bCs/>
          <w:sz w:val="24"/>
        </w:rPr>
        <w:t>以上</w:t>
      </w:r>
      <w:r>
        <w:rPr>
          <w:rFonts w:hint="eastAsia"/>
          <w:bCs/>
          <w:sz w:val="24"/>
        </w:rPr>
        <w:t>(</w:t>
      </w:r>
      <w:r>
        <w:rPr>
          <w:rFonts w:hint="eastAsia"/>
          <w:bCs/>
          <w:sz w:val="24"/>
        </w:rPr>
        <w:t>含</w:t>
      </w:r>
      <w:r>
        <w:rPr>
          <w:rFonts w:hint="eastAsia"/>
          <w:bCs/>
          <w:sz w:val="24"/>
        </w:rPr>
        <w:t xml:space="preserve"> 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07E688DC" w14:textId="77777777" w:rsidR="007C736D" w:rsidRDefault="00662CFB">
      <w:pPr>
        <w:spacing w:line="360" w:lineRule="auto"/>
        <w:ind w:firstLine="480"/>
        <w:rPr>
          <w:bCs/>
          <w:sz w:val="24"/>
        </w:rPr>
      </w:pPr>
      <w:r>
        <w:rPr>
          <w:rFonts w:hint="eastAsia"/>
          <w:bCs/>
          <w:sz w:val="24"/>
        </w:rPr>
        <w:t>（</w:t>
      </w:r>
      <w:r>
        <w:rPr>
          <w:rFonts w:hint="eastAsia"/>
          <w:bCs/>
          <w:sz w:val="24"/>
        </w:rPr>
        <w:t>10</w:t>
      </w:r>
      <w:r>
        <w:rPr>
          <w:rFonts w:hint="eastAsia"/>
          <w:bCs/>
          <w:sz w:val="24"/>
        </w:rPr>
        <w:t>）基金财产参与股票发行申购，本基金所申报的金额不超过本基金的总资产，本基金所申报的股票数量不超过拟发行股票公司本次发行股票的总量；</w:t>
      </w:r>
      <w:r>
        <w:rPr>
          <w:rFonts w:hint="eastAsia"/>
          <w:bCs/>
          <w:sz w:val="24"/>
        </w:rPr>
        <w:t xml:space="preserve"> </w:t>
      </w:r>
    </w:p>
    <w:p w14:paraId="769FF9BD" w14:textId="77777777" w:rsidR="007C736D" w:rsidRDefault="00662CFB">
      <w:pPr>
        <w:spacing w:line="360" w:lineRule="auto"/>
        <w:ind w:firstLine="480"/>
        <w:rPr>
          <w:bCs/>
          <w:sz w:val="24"/>
        </w:rPr>
      </w:pPr>
      <w:r>
        <w:rPr>
          <w:rFonts w:hint="eastAsia"/>
          <w:bCs/>
          <w:sz w:val="24"/>
        </w:rPr>
        <w:t>（</w:t>
      </w:r>
      <w:r>
        <w:rPr>
          <w:rFonts w:hint="eastAsia"/>
          <w:bCs/>
          <w:sz w:val="24"/>
        </w:rPr>
        <w:t>11</w:t>
      </w:r>
      <w:r>
        <w:rPr>
          <w:rFonts w:hint="eastAsia"/>
          <w:bCs/>
          <w:sz w:val="24"/>
        </w:rPr>
        <w:t>）基金因未平仓的股票期权合约支付和收取的权利金总额不得超过基</w:t>
      </w:r>
      <w:r>
        <w:rPr>
          <w:rFonts w:hint="eastAsia"/>
          <w:bCs/>
          <w:sz w:val="24"/>
        </w:rPr>
        <w:t>金资产净值的</w:t>
      </w:r>
      <w:r>
        <w:rPr>
          <w:rFonts w:hint="eastAsia"/>
          <w:bCs/>
          <w:sz w:val="24"/>
        </w:rPr>
        <w:t>10%</w:t>
      </w:r>
      <w:r>
        <w:rPr>
          <w:rFonts w:hint="eastAsia"/>
          <w:bCs/>
          <w:sz w:val="24"/>
        </w:rPr>
        <w:t>；开仓卖出认购股票期权的，应持有足额标的证券；开仓卖出认沽股票期权的，应持有合约行权所需的全额现金或交易所规则认可的可冲</w:t>
      </w:r>
      <w:r>
        <w:rPr>
          <w:rFonts w:hint="eastAsia"/>
          <w:bCs/>
          <w:sz w:val="24"/>
        </w:rPr>
        <w:lastRenderedPageBreak/>
        <w:t>抵股票期权保证金的现金等价物；未平仓的股票期权合约面值不得超过基金资产净值的</w:t>
      </w:r>
      <w:r>
        <w:rPr>
          <w:rFonts w:hint="eastAsia"/>
          <w:bCs/>
          <w:sz w:val="24"/>
        </w:rPr>
        <w:t>20%</w:t>
      </w:r>
      <w:r>
        <w:rPr>
          <w:rFonts w:hint="eastAsia"/>
          <w:bCs/>
          <w:sz w:val="24"/>
        </w:rPr>
        <w:t>。其中，合约面值按照行权价乘以合约乘数计算；</w:t>
      </w:r>
    </w:p>
    <w:p w14:paraId="35F5FECE" w14:textId="77777777" w:rsidR="007C736D" w:rsidRDefault="00662CFB">
      <w:pPr>
        <w:spacing w:line="360" w:lineRule="auto"/>
        <w:ind w:firstLine="480"/>
        <w:rPr>
          <w:bCs/>
          <w:sz w:val="24"/>
        </w:rPr>
      </w:pPr>
      <w:r>
        <w:rPr>
          <w:rFonts w:hint="eastAsia"/>
          <w:bCs/>
          <w:sz w:val="24"/>
        </w:rPr>
        <w:t>（</w:t>
      </w:r>
      <w:r>
        <w:rPr>
          <w:rFonts w:hint="eastAsia"/>
          <w:bCs/>
          <w:sz w:val="24"/>
        </w:rPr>
        <w:t>12</w:t>
      </w:r>
      <w:r>
        <w:rPr>
          <w:rFonts w:hint="eastAsia"/>
          <w:bCs/>
          <w:sz w:val="24"/>
        </w:rPr>
        <w:t>）本基金在任何交易日日终，持有的买入股指期货、国债期货合约价值与有价证券市值之和，不得超过基金资产净值的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r>
        <w:rPr>
          <w:rFonts w:hint="eastAsia"/>
          <w:bCs/>
          <w:sz w:val="24"/>
        </w:rPr>
        <w:t xml:space="preserve"> </w:t>
      </w:r>
    </w:p>
    <w:p w14:paraId="600D2AD5" w14:textId="77777777" w:rsidR="007C736D" w:rsidRDefault="00662CFB">
      <w:pPr>
        <w:spacing w:line="360" w:lineRule="auto"/>
        <w:ind w:firstLine="480"/>
        <w:rPr>
          <w:bCs/>
          <w:sz w:val="24"/>
        </w:rPr>
      </w:pPr>
      <w:r>
        <w:rPr>
          <w:rFonts w:hint="eastAsia"/>
          <w:bCs/>
          <w:sz w:val="24"/>
        </w:rPr>
        <w:t>（</w:t>
      </w:r>
      <w:r>
        <w:rPr>
          <w:rFonts w:hint="eastAsia"/>
          <w:bCs/>
          <w:sz w:val="24"/>
        </w:rPr>
        <w:t>13</w:t>
      </w:r>
      <w:r>
        <w:rPr>
          <w:rFonts w:hint="eastAsia"/>
          <w:bCs/>
          <w:sz w:val="24"/>
        </w:rPr>
        <w:t>）本</w:t>
      </w:r>
      <w:r>
        <w:rPr>
          <w:rFonts w:hint="eastAsia"/>
          <w:bCs/>
          <w:sz w:val="24"/>
        </w:rPr>
        <w:t>基金参与股指期货交易，应当符合下列投资限制：</w:t>
      </w:r>
    </w:p>
    <w:p w14:paraId="388CEEA1" w14:textId="77777777" w:rsidR="007C736D" w:rsidRDefault="00662CFB">
      <w:pPr>
        <w:spacing w:line="360" w:lineRule="auto"/>
        <w:ind w:firstLine="480"/>
        <w:rPr>
          <w:bCs/>
          <w:sz w:val="24"/>
        </w:rPr>
      </w:pPr>
      <w:r>
        <w:rPr>
          <w:rFonts w:hint="eastAsia"/>
          <w:bCs/>
          <w:sz w:val="24"/>
        </w:rPr>
        <w:t xml:space="preserve"> 1</w:t>
      </w:r>
      <w:r>
        <w:rPr>
          <w:rFonts w:hint="eastAsia"/>
          <w:bCs/>
          <w:sz w:val="24"/>
        </w:rPr>
        <w:t>）在任何交易日日终，持有的买入股指期货合约价值不得超过基金资产净值的</w:t>
      </w:r>
      <w:r>
        <w:rPr>
          <w:rFonts w:hint="eastAsia"/>
          <w:bCs/>
          <w:sz w:val="24"/>
        </w:rPr>
        <w:t>10%</w:t>
      </w:r>
      <w:r>
        <w:rPr>
          <w:rFonts w:hint="eastAsia"/>
          <w:bCs/>
          <w:sz w:val="24"/>
        </w:rPr>
        <w:t>；</w:t>
      </w:r>
      <w:r>
        <w:rPr>
          <w:rFonts w:hint="eastAsia"/>
          <w:bCs/>
          <w:sz w:val="24"/>
        </w:rPr>
        <w:t xml:space="preserve"> </w:t>
      </w:r>
    </w:p>
    <w:p w14:paraId="655705C2" w14:textId="77777777" w:rsidR="007C736D" w:rsidRDefault="00662CFB">
      <w:pPr>
        <w:spacing w:line="360" w:lineRule="auto"/>
        <w:ind w:firstLine="480"/>
        <w:rPr>
          <w:bCs/>
          <w:sz w:val="24"/>
        </w:rPr>
      </w:pPr>
      <w:r>
        <w:rPr>
          <w:rFonts w:hint="eastAsia"/>
          <w:bCs/>
          <w:sz w:val="24"/>
        </w:rPr>
        <w:t>2</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14:paraId="46204B37" w14:textId="77777777" w:rsidR="007C736D" w:rsidRDefault="00662CFB">
      <w:pPr>
        <w:spacing w:line="360" w:lineRule="auto"/>
        <w:ind w:firstLine="480"/>
        <w:rPr>
          <w:bCs/>
          <w:sz w:val="24"/>
        </w:rPr>
      </w:pPr>
      <w:r>
        <w:rPr>
          <w:rFonts w:hint="eastAsia"/>
          <w:bCs/>
          <w:sz w:val="24"/>
        </w:rPr>
        <w:t>3</w:t>
      </w:r>
      <w:r>
        <w:rPr>
          <w:rFonts w:hint="eastAsia"/>
          <w:bCs/>
          <w:sz w:val="24"/>
        </w:rPr>
        <w:t>）本基金所持有的股票市值和买入、卖出股指期货合约价值，合计（轧差计算）应当符合基金合同关于股票投资比例的有关约定；</w:t>
      </w:r>
      <w:r>
        <w:rPr>
          <w:rFonts w:hint="eastAsia"/>
          <w:bCs/>
          <w:sz w:val="24"/>
        </w:rPr>
        <w:t xml:space="preserve"> </w:t>
      </w:r>
    </w:p>
    <w:p w14:paraId="34893CC7" w14:textId="77777777" w:rsidR="007C736D" w:rsidRDefault="00662CFB">
      <w:pPr>
        <w:spacing w:line="360" w:lineRule="auto"/>
        <w:ind w:firstLine="480"/>
        <w:rPr>
          <w:bCs/>
          <w:sz w:val="24"/>
        </w:rPr>
      </w:pPr>
      <w:r>
        <w:rPr>
          <w:rFonts w:hint="eastAsia"/>
          <w:bCs/>
          <w:sz w:val="24"/>
        </w:rPr>
        <w:t>4</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r>
        <w:rPr>
          <w:rFonts w:hint="eastAsia"/>
          <w:bCs/>
          <w:sz w:val="24"/>
        </w:rPr>
        <w:t xml:space="preserve"> </w:t>
      </w:r>
    </w:p>
    <w:p w14:paraId="0588D931" w14:textId="77777777" w:rsidR="007C736D" w:rsidRDefault="00662CFB">
      <w:pPr>
        <w:spacing w:line="360" w:lineRule="auto"/>
        <w:ind w:firstLine="480"/>
        <w:rPr>
          <w:bCs/>
          <w:sz w:val="24"/>
        </w:rPr>
      </w:pPr>
      <w:r>
        <w:rPr>
          <w:rFonts w:hint="eastAsia"/>
          <w:bCs/>
          <w:sz w:val="24"/>
        </w:rPr>
        <w:t>（</w:t>
      </w:r>
      <w:r>
        <w:rPr>
          <w:rFonts w:hint="eastAsia"/>
          <w:bCs/>
          <w:sz w:val="24"/>
        </w:rPr>
        <w:t>14</w:t>
      </w:r>
      <w:r>
        <w:rPr>
          <w:rFonts w:hint="eastAsia"/>
          <w:bCs/>
          <w:sz w:val="24"/>
        </w:rPr>
        <w:t>）本基金参与国债期货交易，应当符合下列投资限制：</w:t>
      </w:r>
      <w:r>
        <w:rPr>
          <w:rFonts w:hint="eastAsia"/>
          <w:bCs/>
          <w:sz w:val="24"/>
        </w:rPr>
        <w:t xml:space="preserve"> </w:t>
      </w:r>
    </w:p>
    <w:p w14:paraId="0B79839B" w14:textId="77777777" w:rsidR="007C736D" w:rsidRDefault="00662CFB">
      <w:pPr>
        <w:spacing w:line="360" w:lineRule="auto"/>
        <w:ind w:firstLine="480"/>
        <w:rPr>
          <w:bCs/>
          <w:sz w:val="24"/>
        </w:rPr>
      </w:pPr>
      <w:r>
        <w:rPr>
          <w:rFonts w:hint="eastAsia"/>
          <w:bCs/>
          <w:sz w:val="24"/>
        </w:rPr>
        <w:t>1</w:t>
      </w:r>
      <w:r>
        <w:rPr>
          <w:rFonts w:hint="eastAsia"/>
          <w:bCs/>
          <w:sz w:val="24"/>
        </w:rPr>
        <w:t>）本基金在任何交易日日终，持有的买入国债期货合约价值，不得超过基金资产净值的</w:t>
      </w:r>
      <w:r>
        <w:rPr>
          <w:rFonts w:hint="eastAsia"/>
          <w:bCs/>
          <w:sz w:val="24"/>
        </w:rPr>
        <w:t>15%</w:t>
      </w:r>
      <w:r>
        <w:rPr>
          <w:rFonts w:hint="eastAsia"/>
          <w:bCs/>
          <w:sz w:val="24"/>
        </w:rPr>
        <w:t>；</w:t>
      </w:r>
    </w:p>
    <w:p w14:paraId="77FF1096" w14:textId="77777777" w:rsidR="007C736D" w:rsidRDefault="00662CFB">
      <w:pPr>
        <w:spacing w:line="360" w:lineRule="auto"/>
        <w:ind w:firstLine="480"/>
        <w:rPr>
          <w:bCs/>
          <w:sz w:val="24"/>
        </w:rPr>
      </w:pPr>
      <w:r>
        <w:rPr>
          <w:rFonts w:hint="eastAsia"/>
          <w:bCs/>
          <w:sz w:val="24"/>
        </w:rPr>
        <w:t>2</w:t>
      </w:r>
      <w:r>
        <w:rPr>
          <w:rFonts w:hint="eastAsia"/>
          <w:bCs/>
          <w:sz w:val="24"/>
        </w:rPr>
        <w:t>）本基金在任何交易日日终，持有的卖出国债期货合约价值不得超过基金持有的债券总市值的</w:t>
      </w:r>
      <w:r>
        <w:rPr>
          <w:rFonts w:hint="eastAsia"/>
          <w:bCs/>
          <w:sz w:val="24"/>
        </w:rPr>
        <w:t xml:space="preserve"> 30%</w:t>
      </w:r>
      <w:r>
        <w:rPr>
          <w:rFonts w:hint="eastAsia"/>
          <w:bCs/>
          <w:sz w:val="24"/>
        </w:rPr>
        <w:t>；</w:t>
      </w:r>
    </w:p>
    <w:p w14:paraId="2A578BF1" w14:textId="77777777" w:rsidR="007C736D" w:rsidRDefault="00662CFB">
      <w:pPr>
        <w:spacing w:line="360" w:lineRule="auto"/>
        <w:ind w:firstLine="480"/>
        <w:rPr>
          <w:bCs/>
          <w:sz w:val="24"/>
        </w:rPr>
      </w:pPr>
      <w:r>
        <w:rPr>
          <w:rFonts w:hint="eastAsia"/>
          <w:bCs/>
          <w:sz w:val="24"/>
        </w:rPr>
        <w:t>3</w:t>
      </w:r>
      <w:r>
        <w:rPr>
          <w:rFonts w:hint="eastAsia"/>
          <w:bCs/>
          <w:sz w:val="24"/>
        </w:rPr>
        <w:t>）本基金在任何交易日内交易（不包括平仓）的国债期货合约的成交金额不得超过上一交易日基金资产净值的</w:t>
      </w:r>
      <w:r>
        <w:rPr>
          <w:rFonts w:hint="eastAsia"/>
          <w:bCs/>
          <w:sz w:val="24"/>
        </w:rPr>
        <w:t>30%</w:t>
      </w:r>
      <w:r>
        <w:rPr>
          <w:rFonts w:hint="eastAsia"/>
          <w:bCs/>
          <w:sz w:val="24"/>
        </w:rPr>
        <w:t>；</w:t>
      </w:r>
      <w:r>
        <w:rPr>
          <w:rFonts w:hint="eastAsia"/>
          <w:bCs/>
          <w:sz w:val="24"/>
        </w:rPr>
        <w:t xml:space="preserve"> </w:t>
      </w:r>
    </w:p>
    <w:p w14:paraId="54C65C7E" w14:textId="77777777" w:rsidR="007C736D" w:rsidRDefault="00662CFB">
      <w:pPr>
        <w:spacing w:line="360" w:lineRule="auto"/>
        <w:ind w:firstLine="480"/>
        <w:rPr>
          <w:bCs/>
          <w:sz w:val="24"/>
        </w:rPr>
      </w:pPr>
      <w:r>
        <w:rPr>
          <w:rFonts w:hint="eastAsia"/>
          <w:bCs/>
          <w:sz w:val="24"/>
        </w:rPr>
        <w:t>4</w:t>
      </w:r>
      <w:r>
        <w:rPr>
          <w:rFonts w:hint="eastAsia"/>
          <w:bCs/>
          <w:sz w:val="24"/>
        </w:rPr>
        <w:t>）本基金所持有的债券（不含到期日在一年以内的政府债券）市值和买入、卖出国债期货合约价值，合计（轧差计算）应当符合基金合同关于债券投资比例的有关约定；</w:t>
      </w:r>
      <w:r>
        <w:rPr>
          <w:rFonts w:hint="eastAsia"/>
          <w:bCs/>
          <w:sz w:val="24"/>
        </w:rPr>
        <w:t xml:space="preserve"> </w:t>
      </w:r>
    </w:p>
    <w:p w14:paraId="339D1813" w14:textId="77777777" w:rsidR="007C736D" w:rsidRDefault="00662CFB">
      <w:pPr>
        <w:spacing w:line="360" w:lineRule="auto"/>
        <w:ind w:firstLine="480"/>
        <w:rPr>
          <w:bCs/>
          <w:sz w:val="24"/>
        </w:rPr>
      </w:pPr>
      <w:r>
        <w:rPr>
          <w:rFonts w:hint="eastAsia"/>
          <w:bCs/>
          <w:sz w:val="24"/>
        </w:rPr>
        <w:t>（</w:t>
      </w:r>
      <w:r>
        <w:rPr>
          <w:rFonts w:hint="eastAsia"/>
          <w:bCs/>
          <w:sz w:val="24"/>
        </w:rPr>
        <w:t>15</w:t>
      </w:r>
      <w:r>
        <w:rPr>
          <w:rFonts w:hint="eastAsia"/>
          <w:bCs/>
          <w:sz w:val="24"/>
        </w:rPr>
        <w:t>）本基金管理人管理的全部开放式基金（包括开放式基金以及处于</w:t>
      </w:r>
      <w:r>
        <w:rPr>
          <w:rFonts w:hint="eastAsia"/>
          <w:bCs/>
          <w:sz w:val="24"/>
        </w:rPr>
        <w:t>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w:t>
      </w:r>
      <w:r>
        <w:rPr>
          <w:rFonts w:hint="eastAsia"/>
          <w:bCs/>
          <w:sz w:val="24"/>
        </w:rPr>
        <w:lastRenderedPageBreak/>
        <w:t>数的构成比例进行证券投资的开放式基金以及中国证监会认定的特殊投资组合可不受前述比例限制；</w:t>
      </w:r>
    </w:p>
    <w:p w14:paraId="6644C983" w14:textId="77777777" w:rsidR="007C736D" w:rsidRDefault="00662CFB">
      <w:pPr>
        <w:spacing w:line="360" w:lineRule="auto"/>
        <w:ind w:firstLine="480"/>
        <w:rPr>
          <w:bCs/>
          <w:sz w:val="24"/>
        </w:rPr>
      </w:pPr>
      <w:r>
        <w:rPr>
          <w:rFonts w:hint="eastAsia"/>
          <w:bCs/>
          <w:sz w:val="24"/>
        </w:rPr>
        <w:t>（</w:t>
      </w:r>
      <w:r>
        <w:rPr>
          <w:rFonts w:hint="eastAsia"/>
          <w:bCs/>
          <w:sz w:val="24"/>
        </w:rPr>
        <w:t>16</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w:t>
      </w:r>
      <w:r>
        <w:rPr>
          <w:rFonts w:hint="eastAsia"/>
          <w:bCs/>
          <w:sz w:val="24"/>
        </w:rPr>
        <w:t>投资；</w:t>
      </w:r>
      <w:r>
        <w:rPr>
          <w:rFonts w:hint="eastAsia"/>
          <w:bCs/>
          <w:sz w:val="24"/>
        </w:rPr>
        <w:t xml:space="preserve"> </w:t>
      </w:r>
    </w:p>
    <w:p w14:paraId="31A2E875" w14:textId="77777777" w:rsidR="007C736D" w:rsidRDefault="00662CFB">
      <w:pPr>
        <w:spacing w:line="360" w:lineRule="auto"/>
        <w:ind w:firstLine="480"/>
        <w:rPr>
          <w:bCs/>
          <w:sz w:val="24"/>
        </w:rPr>
      </w:pPr>
      <w:r>
        <w:rPr>
          <w:rFonts w:hint="eastAsia"/>
          <w:bCs/>
          <w:sz w:val="24"/>
        </w:rPr>
        <w:t>（</w:t>
      </w:r>
      <w:r>
        <w:rPr>
          <w:rFonts w:hint="eastAsia"/>
          <w:bCs/>
          <w:sz w:val="24"/>
        </w:rPr>
        <w:t>17</w:t>
      </w:r>
      <w:r>
        <w:rPr>
          <w:rFonts w:hint="eastAsia"/>
          <w:bCs/>
          <w:sz w:val="24"/>
        </w:rPr>
        <w:t>）本基金与私募类证券资管产品及中国证监会认定的其他主体为交易对手开展逆回购交易的，可接受质押品的资质要求应当与本基金合同约定的投资范围保持一致；</w:t>
      </w:r>
    </w:p>
    <w:p w14:paraId="2E04E9D3" w14:textId="77777777" w:rsidR="007C736D" w:rsidRDefault="00662CFB">
      <w:pPr>
        <w:spacing w:line="360" w:lineRule="auto"/>
        <w:ind w:firstLine="480"/>
        <w:rPr>
          <w:bCs/>
          <w:sz w:val="24"/>
        </w:rPr>
      </w:pPr>
      <w:r>
        <w:rPr>
          <w:rFonts w:hint="eastAsia"/>
          <w:bCs/>
          <w:sz w:val="24"/>
        </w:rPr>
        <w:t>（</w:t>
      </w:r>
      <w:r>
        <w:rPr>
          <w:rFonts w:hint="eastAsia"/>
          <w:bCs/>
          <w:sz w:val="24"/>
        </w:rPr>
        <w:t>18</w:t>
      </w:r>
      <w:r>
        <w:rPr>
          <w:rFonts w:hint="eastAsia"/>
          <w:bCs/>
          <w:sz w:val="24"/>
        </w:rPr>
        <w:t>）本基金资产总值不超过基金资产净值的</w:t>
      </w:r>
      <w:r>
        <w:rPr>
          <w:rFonts w:hint="eastAsia"/>
          <w:bCs/>
          <w:sz w:val="24"/>
        </w:rPr>
        <w:t>140%</w:t>
      </w:r>
      <w:r>
        <w:rPr>
          <w:rFonts w:hint="eastAsia"/>
          <w:bCs/>
          <w:sz w:val="24"/>
        </w:rPr>
        <w:t>；</w:t>
      </w:r>
    </w:p>
    <w:p w14:paraId="73BE34A9" w14:textId="77777777" w:rsidR="007C736D" w:rsidRDefault="00662CFB">
      <w:pPr>
        <w:spacing w:line="360" w:lineRule="auto"/>
        <w:ind w:firstLine="480"/>
        <w:rPr>
          <w:bCs/>
          <w:sz w:val="24"/>
        </w:rPr>
      </w:pPr>
      <w:r>
        <w:rPr>
          <w:rFonts w:hint="eastAsia"/>
          <w:bCs/>
          <w:sz w:val="24"/>
        </w:rPr>
        <w:t>（</w:t>
      </w:r>
      <w:r>
        <w:rPr>
          <w:rFonts w:hint="eastAsia"/>
          <w:bCs/>
          <w:sz w:val="24"/>
        </w:rPr>
        <w:t>19</w:t>
      </w:r>
      <w:r>
        <w:rPr>
          <w:rFonts w:hint="eastAsia"/>
          <w:bCs/>
          <w:sz w:val="24"/>
        </w:rPr>
        <w:t>）本基金不持有具有信用保护卖方属性的信用衍生品；不持有合约类信用衍生品；本基金持有的信用衍生品名义本金不得超过本基金中所对应受保护债券面值的</w:t>
      </w:r>
      <w:r>
        <w:rPr>
          <w:rFonts w:hint="eastAsia"/>
          <w:bCs/>
          <w:sz w:val="24"/>
        </w:rPr>
        <w:t xml:space="preserve"> 100%</w:t>
      </w:r>
      <w:r>
        <w:rPr>
          <w:rFonts w:hint="eastAsia"/>
          <w:bCs/>
          <w:sz w:val="24"/>
        </w:rPr>
        <w:t>；本基金投资于同一信用保护卖方的各类信用衍生品名义本金合计不得超过基金资产净值的</w:t>
      </w:r>
      <w:r>
        <w:rPr>
          <w:rFonts w:hint="eastAsia"/>
          <w:bCs/>
          <w:sz w:val="24"/>
        </w:rPr>
        <w:t xml:space="preserve"> 10%</w:t>
      </w:r>
      <w:r>
        <w:rPr>
          <w:rFonts w:hint="eastAsia"/>
          <w:bCs/>
          <w:sz w:val="24"/>
        </w:rPr>
        <w:t>；因证券市场波动、期货市场波动、证券发行人合并、基金</w:t>
      </w:r>
      <w:r>
        <w:rPr>
          <w:rFonts w:hint="eastAsia"/>
          <w:bCs/>
          <w:sz w:val="24"/>
        </w:rPr>
        <w:t>规模变动等基金管理人之外的因素致使基金投资比例不符合上述规定投资比例的，基金管理人应当在</w:t>
      </w:r>
      <w:r>
        <w:rPr>
          <w:rFonts w:hint="eastAsia"/>
          <w:bCs/>
          <w:sz w:val="24"/>
        </w:rPr>
        <w:t>3</w:t>
      </w:r>
      <w:r>
        <w:rPr>
          <w:rFonts w:hint="eastAsia"/>
          <w:bCs/>
          <w:sz w:val="24"/>
        </w:rPr>
        <w:t>个月内进行调整；</w:t>
      </w:r>
    </w:p>
    <w:p w14:paraId="1D939727" w14:textId="77777777" w:rsidR="007C736D" w:rsidRDefault="00662CFB">
      <w:pPr>
        <w:spacing w:line="360" w:lineRule="auto"/>
        <w:ind w:firstLine="480"/>
        <w:rPr>
          <w:bCs/>
          <w:sz w:val="24"/>
        </w:rPr>
      </w:pPr>
      <w:r>
        <w:rPr>
          <w:rFonts w:hint="eastAsia"/>
          <w:bCs/>
          <w:sz w:val="24"/>
        </w:rPr>
        <w:t>（</w:t>
      </w:r>
      <w:r>
        <w:rPr>
          <w:rFonts w:hint="eastAsia"/>
          <w:bCs/>
          <w:sz w:val="24"/>
        </w:rPr>
        <w:t>20</w:t>
      </w:r>
      <w:r>
        <w:rPr>
          <w:rFonts w:hint="eastAsia"/>
          <w:bCs/>
          <w:sz w:val="24"/>
        </w:rPr>
        <w:t>）本基金投资存托凭证的比例限制依照境内上市交易的股票执行，与境内上市交易的股票合并计算；</w:t>
      </w:r>
    </w:p>
    <w:p w14:paraId="7FCE1D11" w14:textId="77777777" w:rsidR="007C736D" w:rsidRDefault="00662CFB">
      <w:pPr>
        <w:spacing w:line="360" w:lineRule="auto"/>
        <w:ind w:firstLine="480"/>
        <w:rPr>
          <w:bCs/>
          <w:sz w:val="24"/>
        </w:rPr>
      </w:pPr>
      <w:r>
        <w:rPr>
          <w:rFonts w:hint="eastAsia"/>
          <w:bCs/>
          <w:sz w:val="24"/>
        </w:rPr>
        <w:t>（</w:t>
      </w:r>
      <w:r>
        <w:rPr>
          <w:rFonts w:hint="eastAsia"/>
          <w:bCs/>
          <w:sz w:val="24"/>
        </w:rPr>
        <w:t>21</w:t>
      </w:r>
      <w:r>
        <w:rPr>
          <w:rFonts w:hint="eastAsia"/>
          <w:bCs/>
          <w:sz w:val="24"/>
        </w:rPr>
        <w:t>）法律法规及中国证监会规定的和《基金合同》约定的其他投资限制。</w:t>
      </w:r>
      <w:r>
        <w:rPr>
          <w:rFonts w:hint="eastAsia"/>
          <w:bCs/>
          <w:sz w:val="24"/>
        </w:rPr>
        <w:t xml:space="preserve"> </w:t>
      </w:r>
    </w:p>
    <w:p w14:paraId="324E2826" w14:textId="77777777" w:rsidR="007C736D" w:rsidRDefault="00662CFB">
      <w:pPr>
        <w:spacing w:line="360" w:lineRule="auto"/>
        <w:ind w:firstLine="480"/>
        <w:rPr>
          <w:bCs/>
          <w:sz w:val="24"/>
        </w:rPr>
      </w:pPr>
      <w:r>
        <w:rPr>
          <w:rFonts w:hint="eastAsia"/>
          <w:bCs/>
          <w:sz w:val="24"/>
        </w:rPr>
        <w:t>除上述（</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16</w:t>
      </w:r>
      <w:r>
        <w:rPr>
          <w:rFonts w:hint="eastAsia"/>
          <w:bCs/>
          <w:sz w:val="24"/>
        </w:rPr>
        <w:t>）、（</w:t>
      </w:r>
      <w:r>
        <w:rPr>
          <w:rFonts w:hint="eastAsia"/>
          <w:bCs/>
          <w:sz w:val="24"/>
        </w:rPr>
        <w:t>17</w:t>
      </w:r>
      <w:r>
        <w:rPr>
          <w:rFonts w:hint="eastAsia"/>
          <w:bCs/>
          <w:sz w:val="24"/>
        </w:rPr>
        <w:t>）、（</w:t>
      </w:r>
      <w:r>
        <w:rPr>
          <w:rFonts w:hint="eastAsia"/>
          <w:bCs/>
          <w:sz w:val="24"/>
        </w:rPr>
        <w:t>19</w:t>
      </w:r>
      <w:r>
        <w:rPr>
          <w:rFonts w:hint="eastAsia"/>
          <w:bCs/>
          <w:sz w:val="24"/>
        </w:rPr>
        <w:t>）情形之外，因证券、期货市场波动、证券发行人合并、基金规模变动等基金管理人之外的因素致使基金投资比例不符合上述规定投资比例的，基金管理人应当在</w:t>
      </w:r>
      <w:r>
        <w:rPr>
          <w:rFonts w:hint="eastAsia"/>
          <w:bCs/>
          <w:sz w:val="24"/>
        </w:rPr>
        <w:t xml:space="preserve">10 </w:t>
      </w:r>
      <w:r>
        <w:rPr>
          <w:rFonts w:hint="eastAsia"/>
          <w:bCs/>
          <w:sz w:val="24"/>
        </w:rPr>
        <w:t>个交易日内进行调整，但中国证监会规定的特</w:t>
      </w:r>
      <w:r>
        <w:rPr>
          <w:rFonts w:hint="eastAsia"/>
          <w:bCs/>
          <w:sz w:val="24"/>
        </w:rPr>
        <w:t>殊情形除外。法律法规或监管部门另有规定的，从其规定。</w:t>
      </w:r>
    </w:p>
    <w:p w14:paraId="6FAF566E" w14:textId="77777777" w:rsidR="007C736D" w:rsidRDefault="00662CFB">
      <w:pPr>
        <w:spacing w:line="360" w:lineRule="auto"/>
        <w:ind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14:paraId="2C035082" w14:textId="77777777" w:rsidR="007C736D" w:rsidRDefault="00662CFB">
      <w:pPr>
        <w:spacing w:line="360" w:lineRule="auto"/>
        <w:ind w:firstLine="480"/>
        <w:rPr>
          <w:bCs/>
          <w:sz w:val="24"/>
        </w:rPr>
      </w:pPr>
      <w:r>
        <w:rPr>
          <w:rFonts w:hint="eastAsia"/>
          <w:bCs/>
          <w:sz w:val="24"/>
        </w:rPr>
        <w:t>法律法规或监管部门取消或调整上述限制，如适用于本基金，基金管理人</w:t>
      </w:r>
      <w:r>
        <w:rPr>
          <w:rFonts w:hint="eastAsia"/>
          <w:bCs/>
          <w:sz w:val="24"/>
        </w:rPr>
        <w:lastRenderedPageBreak/>
        <w:t>在履行适当程序后，则本基金投资不再受相关限制或以调整后的规定为准。</w:t>
      </w:r>
    </w:p>
    <w:p w14:paraId="108D4F1F" w14:textId="77777777" w:rsidR="007C736D" w:rsidRDefault="00662CFB">
      <w:pPr>
        <w:spacing w:line="360" w:lineRule="auto"/>
        <w:ind w:firstLine="480"/>
        <w:rPr>
          <w:bCs/>
          <w:sz w:val="24"/>
        </w:rPr>
      </w:pPr>
      <w:r>
        <w:rPr>
          <w:rFonts w:hint="eastAsia"/>
          <w:bCs/>
          <w:sz w:val="24"/>
        </w:rPr>
        <w:t>2</w:t>
      </w:r>
      <w:r>
        <w:rPr>
          <w:rFonts w:hint="eastAsia"/>
          <w:bCs/>
          <w:sz w:val="24"/>
        </w:rPr>
        <w:t>、禁止行为</w:t>
      </w:r>
    </w:p>
    <w:p w14:paraId="198A27FA" w14:textId="77777777" w:rsidR="007C736D" w:rsidRDefault="00662CFB">
      <w:pPr>
        <w:spacing w:line="360" w:lineRule="auto"/>
        <w:ind w:firstLine="480"/>
        <w:rPr>
          <w:bCs/>
          <w:sz w:val="24"/>
        </w:rPr>
      </w:pPr>
      <w:r>
        <w:rPr>
          <w:rFonts w:hint="eastAsia"/>
          <w:bCs/>
          <w:sz w:val="24"/>
        </w:rPr>
        <w:t>为维护基金份额持有人的合法权益，基金财产不得用于下列投资或</w:t>
      </w:r>
      <w:r>
        <w:rPr>
          <w:rFonts w:hint="eastAsia"/>
          <w:bCs/>
          <w:sz w:val="24"/>
        </w:rPr>
        <w:t>者活动：</w:t>
      </w:r>
    </w:p>
    <w:p w14:paraId="313529D8" w14:textId="77777777" w:rsidR="007C736D" w:rsidRDefault="00662CFB">
      <w:pPr>
        <w:spacing w:line="360" w:lineRule="auto"/>
        <w:ind w:firstLine="480"/>
        <w:rPr>
          <w:bCs/>
          <w:sz w:val="24"/>
        </w:rPr>
      </w:pPr>
      <w:r>
        <w:rPr>
          <w:rFonts w:hint="eastAsia"/>
          <w:bCs/>
          <w:sz w:val="24"/>
        </w:rPr>
        <w:t>（</w:t>
      </w:r>
      <w:r>
        <w:rPr>
          <w:rFonts w:hint="eastAsia"/>
          <w:bCs/>
          <w:sz w:val="24"/>
        </w:rPr>
        <w:t>1</w:t>
      </w:r>
      <w:r>
        <w:rPr>
          <w:rFonts w:hint="eastAsia"/>
          <w:bCs/>
          <w:sz w:val="24"/>
        </w:rPr>
        <w:t>）承销证券；</w:t>
      </w:r>
    </w:p>
    <w:p w14:paraId="1AA3D2EF" w14:textId="77777777" w:rsidR="007C736D" w:rsidRDefault="00662CFB">
      <w:pPr>
        <w:spacing w:line="360" w:lineRule="auto"/>
        <w:ind w:firstLine="480"/>
        <w:rPr>
          <w:bCs/>
          <w:sz w:val="24"/>
        </w:rPr>
      </w:pPr>
      <w:r>
        <w:rPr>
          <w:rFonts w:hint="eastAsia"/>
          <w:bCs/>
          <w:sz w:val="24"/>
        </w:rPr>
        <w:t>（</w:t>
      </w:r>
      <w:r>
        <w:rPr>
          <w:rFonts w:hint="eastAsia"/>
          <w:bCs/>
          <w:sz w:val="24"/>
        </w:rPr>
        <w:t>2</w:t>
      </w:r>
      <w:r>
        <w:rPr>
          <w:rFonts w:hint="eastAsia"/>
          <w:bCs/>
          <w:sz w:val="24"/>
        </w:rPr>
        <w:t>）违反规定向他人贷款或者提供担保；</w:t>
      </w:r>
    </w:p>
    <w:p w14:paraId="00456F02" w14:textId="77777777" w:rsidR="007C736D" w:rsidRDefault="00662CFB">
      <w:pPr>
        <w:spacing w:line="360" w:lineRule="auto"/>
        <w:ind w:firstLine="480"/>
        <w:rPr>
          <w:bCs/>
          <w:sz w:val="24"/>
        </w:rPr>
      </w:pPr>
      <w:r>
        <w:rPr>
          <w:rFonts w:hint="eastAsia"/>
          <w:bCs/>
          <w:sz w:val="24"/>
        </w:rPr>
        <w:t>（</w:t>
      </w:r>
      <w:r>
        <w:rPr>
          <w:rFonts w:hint="eastAsia"/>
          <w:bCs/>
          <w:sz w:val="24"/>
        </w:rPr>
        <w:t>3</w:t>
      </w:r>
      <w:r>
        <w:rPr>
          <w:rFonts w:hint="eastAsia"/>
          <w:bCs/>
          <w:sz w:val="24"/>
        </w:rPr>
        <w:t>）从事承担无限责任的投资；</w:t>
      </w:r>
    </w:p>
    <w:p w14:paraId="215DB1DA" w14:textId="77777777" w:rsidR="007C736D" w:rsidRDefault="00662CFB">
      <w:pPr>
        <w:spacing w:line="360" w:lineRule="auto"/>
        <w:ind w:firstLine="480"/>
        <w:rPr>
          <w:bCs/>
          <w:sz w:val="24"/>
        </w:rPr>
      </w:pPr>
      <w:r>
        <w:rPr>
          <w:rFonts w:hint="eastAsia"/>
          <w:bCs/>
          <w:sz w:val="24"/>
        </w:rPr>
        <w:t>（</w:t>
      </w:r>
      <w:r>
        <w:rPr>
          <w:rFonts w:hint="eastAsia"/>
          <w:bCs/>
          <w:sz w:val="24"/>
        </w:rPr>
        <w:t>4</w:t>
      </w:r>
      <w:r>
        <w:rPr>
          <w:rFonts w:hint="eastAsia"/>
          <w:bCs/>
          <w:sz w:val="24"/>
        </w:rPr>
        <w:t>）买卖其他基金份额，但是法律法规或中国证监会另有规定的除外；</w:t>
      </w:r>
    </w:p>
    <w:p w14:paraId="18216E18" w14:textId="77777777" w:rsidR="007C736D" w:rsidRDefault="00662CFB">
      <w:pPr>
        <w:spacing w:line="360" w:lineRule="auto"/>
        <w:ind w:firstLine="480"/>
        <w:rPr>
          <w:bCs/>
          <w:sz w:val="24"/>
        </w:rPr>
      </w:pPr>
      <w:r>
        <w:rPr>
          <w:rFonts w:hint="eastAsia"/>
          <w:bCs/>
          <w:sz w:val="24"/>
        </w:rPr>
        <w:t>（</w:t>
      </w:r>
      <w:r>
        <w:rPr>
          <w:rFonts w:hint="eastAsia"/>
          <w:bCs/>
          <w:sz w:val="24"/>
        </w:rPr>
        <w:t>5</w:t>
      </w:r>
      <w:r>
        <w:rPr>
          <w:rFonts w:hint="eastAsia"/>
          <w:bCs/>
          <w:sz w:val="24"/>
        </w:rPr>
        <w:t>）向其基金管理人、基金托管人出资；</w:t>
      </w:r>
    </w:p>
    <w:p w14:paraId="75862FBD" w14:textId="77777777" w:rsidR="007C736D" w:rsidRDefault="00662CFB">
      <w:pPr>
        <w:spacing w:line="360" w:lineRule="auto"/>
        <w:ind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14:paraId="3855F32E" w14:textId="77777777" w:rsidR="007C736D" w:rsidRDefault="00662CFB">
      <w:pPr>
        <w:spacing w:line="360" w:lineRule="auto"/>
        <w:ind w:firstLine="480"/>
        <w:rPr>
          <w:bCs/>
          <w:sz w:val="24"/>
        </w:rPr>
      </w:pPr>
      <w:r>
        <w:rPr>
          <w:rFonts w:hint="eastAsia"/>
          <w:bCs/>
          <w:sz w:val="24"/>
        </w:rPr>
        <w:t>（</w:t>
      </w:r>
      <w:r>
        <w:rPr>
          <w:rFonts w:hint="eastAsia"/>
          <w:bCs/>
          <w:sz w:val="24"/>
        </w:rPr>
        <w:t>7</w:t>
      </w:r>
      <w:r>
        <w:rPr>
          <w:rFonts w:hint="eastAsia"/>
          <w:bCs/>
          <w:sz w:val="24"/>
        </w:rPr>
        <w:t>）法律、行政法规和中国证监会规定禁止的其他活动。</w:t>
      </w:r>
    </w:p>
    <w:p w14:paraId="170597DB" w14:textId="77777777" w:rsidR="007C736D" w:rsidRDefault="00662CFB">
      <w:pPr>
        <w:spacing w:line="360" w:lineRule="auto"/>
        <w:ind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75AD242" w14:textId="77777777" w:rsidR="007C736D" w:rsidRDefault="00662CFB">
      <w:pPr>
        <w:spacing w:line="360" w:lineRule="auto"/>
        <w:ind w:firstLine="480"/>
        <w:rPr>
          <w:bCs/>
          <w:sz w:val="24"/>
        </w:rPr>
      </w:pPr>
      <w:r>
        <w:rPr>
          <w:rFonts w:hint="eastAsia"/>
          <w:bCs/>
          <w:sz w:val="24"/>
        </w:rPr>
        <w:t>法律、行政法规或监管部门</w:t>
      </w:r>
      <w:r>
        <w:rPr>
          <w:rFonts w:hint="eastAsia"/>
          <w:bCs/>
          <w:sz w:val="24"/>
        </w:rPr>
        <w:t>取消或变更上述禁止性规定，如适用于本基金，基金管理人在履行适当程序后，则本基金投资不再受相关限制或按变更后的规定执行。</w:t>
      </w:r>
    </w:p>
    <w:p w14:paraId="04B35C13" w14:textId="77777777" w:rsidR="007C736D" w:rsidRDefault="00662CFB">
      <w:pPr>
        <w:spacing w:line="360" w:lineRule="auto"/>
        <w:ind w:firstLine="480"/>
        <w:rPr>
          <w:rFonts w:ascii="宋体" w:eastAsia="宋体" w:hAnsi="宋体"/>
          <w:sz w:val="24"/>
          <w:lang w:bidi="en-US"/>
        </w:rPr>
      </w:pPr>
      <w:r>
        <w:rPr>
          <w:rFonts w:ascii="宋体" w:hAnsi="宋体" w:hint="eastAsia"/>
          <w:sz w:val="24"/>
        </w:rPr>
        <w:t>六、基金资产净值的计算方法和公告方式</w:t>
      </w:r>
    </w:p>
    <w:p w14:paraId="3097E264" w14:textId="77777777" w:rsidR="007C736D" w:rsidRDefault="00662CFB">
      <w:pPr>
        <w:spacing w:line="360" w:lineRule="auto"/>
        <w:ind w:firstLine="480"/>
        <w:rPr>
          <w:rFonts w:ascii="宋体" w:eastAsia="宋体" w:hAnsi="宋体"/>
          <w:sz w:val="24"/>
          <w:lang w:bidi="en-US"/>
        </w:rPr>
      </w:pPr>
      <w:r>
        <w:rPr>
          <w:rFonts w:ascii="宋体" w:hAnsi="宋体" w:hint="eastAsia"/>
          <w:sz w:val="24"/>
        </w:rPr>
        <w:t>（一）基金资产净值</w:t>
      </w:r>
    </w:p>
    <w:p w14:paraId="26F98700" w14:textId="77777777" w:rsidR="007C736D" w:rsidRDefault="00662CFB">
      <w:pPr>
        <w:spacing w:line="360" w:lineRule="auto"/>
        <w:ind w:firstLine="480"/>
        <w:rPr>
          <w:rFonts w:ascii="宋体" w:hAnsi="宋体"/>
          <w:sz w:val="24"/>
        </w:rPr>
      </w:pPr>
      <w:r>
        <w:rPr>
          <w:bCs/>
          <w:sz w:val="24"/>
        </w:rPr>
        <w:t>基金资产净值是指基金资产总值减去基金负债后的价值</w:t>
      </w:r>
      <w:r>
        <w:rPr>
          <w:rFonts w:ascii="宋体" w:hAnsi="宋体" w:hint="eastAsia"/>
          <w:sz w:val="24"/>
        </w:rPr>
        <w:t>。</w:t>
      </w:r>
    </w:p>
    <w:p w14:paraId="1F35EC20" w14:textId="77777777" w:rsidR="007C736D" w:rsidRDefault="00662CFB">
      <w:pPr>
        <w:spacing w:line="360" w:lineRule="auto"/>
        <w:ind w:firstLine="480"/>
        <w:rPr>
          <w:rFonts w:ascii="宋体" w:eastAsia="宋体" w:hAnsi="宋体"/>
          <w:sz w:val="24"/>
          <w:lang w:bidi="en-US"/>
        </w:rPr>
      </w:pPr>
      <w:r>
        <w:rPr>
          <w:rFonts w:ascii="宋体" w:hAnsi="宋体" w:hint="eastAsia"/>
          <w:sz w:val="24"/>
        </w:rPr>
        <w:t>（二）估值方法</w:t>
      </w:r>
    </w:p>
    <w:p w14:paraId="7ABE01C8" w14:textId="77777777" w:rsidR="007C736D" w:rsidRDefault="00662CFB">
      <w:pPr>
        <w:spacing w:line="360" w:lineRule="auto"/>
        <w:ind w:firstLine="480"/>
        <w:rPr>
          <w:bCs/>
          <w:sz w:val="24"/>
        </w:rPr>
      </w:pPr>
      <w:r>
        <w:rPr>
          <w:rFonts w:hint="eastAsia"/>
          <w:bCs/>
          <w:sz w:val="24"/>
        </w:rPr>
        <w:t>1</w:t>
      </w:r>
      <w:r>
        <w:rPr>
          <w:rFonts w:hint="eastAsia"/>
          <w:bCs/>
          <w:sz w:val="24"/>
        </w:rPr>
        <w:t>、证券交易所上市的有价证券的估值</w:t>
      </w:r>
    </w:p>
    <w:p w14:paraId="1DF60510" w14:textId="77777777" w:rsidR="007C736D" w:rsidRDefault="00662CFB">
      <w:pPr>
        <w:spacing w:line="360" w:lineRule="auto"/>
        <w:ind w:firstLine="480"/>
        <w:rPr>
          <w:bCs/>
          <w:sz w:val="24"/>
        </w:rPr>
      </w:pPr>
      <w:r>
        <w:rPr>
          <w:rFonts w:hint="eastAsia"/>
          <w:bCs/>
          <w:sz w:val="24"/>
        </w:rPr>
        <w:t>（</w:t>
      </w:r>
      <w:r>
        <w:rPr>
          <w:rFonts w:hint="eastAsia"/>
          <w:bCs/>
          <w:sz w:val="24"/>
        </w:rPr>
        <w:t>1</w:t>
      </w:r>
      <w:r>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w:t>
      </w:r>
      <w:r>
        <w:rPr>
          <w:rFonts w:hint="eastAsia"/>
          <w:bCs/>
          <w:sz w:val="24"/>
        </w:rPr>
        <w:lastRenderedPageBreak/>
        <w:t>市价（收盘价）估值；如最近交易日后经济环境发生了重大变化或证券发行机构发生影响证券价格的重大事件的，可参考类似投资品种的现行市价及重大变化因素，调整最近交易市价，确定公允价格；</w:t>
      </w:r>
    </w:p>
    <w:p w14:paraId="3BF079C5" w14:textId="77777777" w:rsidR="007C736D" w:rsidRDefault="00662CFB">
      <w:pPr>
        <w:spacing w:line="360" w:lineRule="auto"/>
        <w:ind w:firstLine="480"/>
        <w:rPr>
          <w:bCs/>
          <w:sz w:val="24"/>
        </w:rPr>
      </w:pPr>
      <w:r>
        <w:rPr>
          <w:rFonts w:hint="eastAsia"/>
          <w:bCs/>
          <w:sz w:val="24"/>
        </w:rPr>
        <w:t>（</w:t>
      </w:r>
      <w:r>
        <w:rPr>
          <w:rFonts w:hint="eastAsia"/>
          <w:bCs/>
          <w:sz w:val="24"/>
        </w:rPr>
        <w:t>2</w:t>
      </w:r>
      <w:r>
        <w:rPr>
          <w:rFonts w:hint="eastAsia"/>
          <w:bCs/>
          <w:sz w:val="24"/>
        </w:rPr>
        <w:t>）交易所上市交易或挂牌转让的不含权固定收益品种，选取估值日第三方估值基准服务机构提供的相应品种当日的估值全价进行估值；</w:t>
      </w:r>
    </w:p>
    <w:p w14:paraId="71974046" w14:textId="77777777" w:rsidR="007C736D" w:rsidRDefault="00662CFB">
      <w:pPr>
        <w:spacing w:line="360" w:lineRule="auto"/>
        <w:ind w:firstLine="480"/>
        <w:rPr>
          <w:bCs/>
          <w:sz w:val="24"/>
        </w:rPr>
      </w:pPr>
      <w:r>
        <w:rPr>
          <w:rFonts w:hint="eastAsia"/>
          <w:bCs/>
          <w:sz w:val="24"/>
        </w:rPr>
        <w:t>（</w:t>
      </w:r>
      <w:r>
        <w:rPr>
          <w:rFonts w:hint="eastAsia"/>
          <w:bCs/>
          <w:sz w:val="24"/>
        </w:rPr>
        <w:t>3</w:t>
      </w:r>
      <w:r>
        <w:rPr>
          <w:rFonts w:hint="eastAsia"/>
          <w:bCs/>
          <w:sz w:val="24"/>
        </w:rPr>
        <w:t>）交</w:t>
      </w:r>
      <w:r>
        <w:rPr>
          <w:rFonts w:hint="eastAsia"/>
          <w:bCs/>
          <w:sz w:val="24"/>
        </w:rPr>
        <w:t>易所上市交易或挂牌转让的含权固定收益品种，选取估值日第三方估值基准服务机构提供的相应品种当日的唯一估值全价或推荐估值全价进行估值；</w:t>
      </w:r>
    </w:p>
    <w:p w14:paraId="23ACF736" w14:textId="77777777" w:rsidR="007C736D" w:rsidRDefault="00662CFB">
      <w:pPr>
        <w:spacing w:line="360" w:lineRule="auto"/>
        <w:ind w:firstLine="480"/>
        <w:rPr>
          <w:bCs/>
          <w:sz w:val="24"/>
        </w:rPr>
      </w:pPr>
      <w:r>
        <w:rPr>
          <w:rFonts w:hint="eastAsia"/>
          <w:bCs/>
          <w:sz w:val="24"/>
        </w:rPr>
        <w:t>对于含投资者回售权的固定收益品种，行使回售权的，在回售登记日至实际收款日期间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14:paraId="1C980E8F" w14:textId="77777777" w:rsidR="007C736D" w:rsidRDefault="00662CFB">
      <w:pPr>
        <w:spacing w:line="360" w:lineRule="auto"/>
        <w:ind w:firstLine="480"/>
        <w:rPr>
          <w:bCs/>
          <w:sz w:val="24"/>
        </w:rPr>
      </w:pPr>
      <w:r>
        <w:rPr>
          <w:rFonts w:hint="eastAsia"/>
          <w:bCs/>
          <w:sz w:val="24"/>
        </w:rPr>
        <w:t>（</w:t>
      </w:r>
      <w:r>
        <w:rPr>
          <w:rFonts w:hint="eastAsia"/>
          <w:bCs/>
          <w:sz w:val="24"/>
        </w:rPr>
        <w:t>4</w:t>
      </w:r>
      <w:r>
        <w:rPr>
          <w:rFonts w:hint="eastAsia"/>
          <w:bCs/>
          <w:sz w:val="24"/>
        </w:rPr>
        <w:t>）对于在交易所市场上市交易的公开发行的可转换债券等有活跃市场的含转股权的债券，实行全价交易的债券选取</w:t>
      </w:r>
      <w:r>
        <w:rPr>
          <w:rFonts w:hint="eastAsia"/>
          <w:bCs/>
          <w:sz w:val="24"/>
        </w:rPr>
        <w:t>估值日收盘价作为估值全价；实行净价交易的债券选取估值日收盘价并加计每百元税前应计利息作为估值全价；</w:t>
      </w:r>
    </w:p>
    <w:p w14:paraId="53F2C152" w14:textId="77777777" w:rsidR="007C736D" w:rsidRDefault="00662CFB">
      <w:pPr>
        <w:spacing w:line="360" w:lineRule="auto"/>
        <w:ind w:firstLine="480"/>
        <w:rPr>
          <w:bCs/>
          <w:sz w:val="24"/>
        </w:rPr>
      </w:pPr>
      <w:r>
        <w:rPr>
          <w:rFonts w:hint="eastAsia"/>
          <w:bCs/>
          <w:sz w:val="24"/>
        </w:rPr>
        <w:t>（</w:t>
      </w:r>
      <w:r>
        <w:rPr>
          <w:rFonts w:hint="eastAsia"/>
          <w:bCs/>
          <w:sz w:val="24"/>
        </w:rPr>
        <w:t>5</w:t>
      </w:r>
      <w:r>
        <w:rPr>
          <w:rFonts w:hint="eastAsia"/>
          <w:bCs/>
          <w:sz w:val="24"/>
        </w:rPr>
        <w:t>）交易所上市不存在活跃市场的有价证券，采用估值技术确定公允价值；</w:t>
      </w:r>
    </w:p>
    <w:p w14:paraId="304900C5" w14:textId="77777777" w:rsidR="007C736D" w:rsidRDefault="00662CFB">
      <w:pPr>
        <w:spacing w:line="360" w:lineRule="auto"/>
        <w:ind w:firstLine="480"/>
        <w:rPr>
          <w:bCs/>
          <w:sz w:val="24"/>
        </w:rPr>
      </w:pPr>
      <w:r>
        <w:rPr>
          <w:rFonts w:hint="eastAsia"/>
          <w:bCs/>
          <w:sz w:val="24"/>
        </w:rPr>
        <w:t>（</w:t>
      </w:r>
      <w:r>
        <w:rPr>
          <w:rFonts w:hint="eastAsia"/>
          <w:bCs/>
          <w:sz w:val="24"/>
        </w:rPr>
        <w:t>6</w:t>
      </w:r>
      <w:r>
        <w:rPr>
          <w:rFonts w:hint="eastAsia"/>
          <w:bCs/>
          <w:sz w:val="24"/>
        </w:rPr>
        <w:t>）对于交易所未上市或未挂牌转让且不存在活跃市场的固定收益品种，采用在当前情况下适用并且有足够可利用数据和其他信息支持的估值技术确定其公允价值。</w:t>
      </w:r>
    </w:p>
    <w:p w14:paraId="6397FE77" w14:textId="77777777" w:rsidR="007C736D" w:rsidRDefault="00662CFB">
      <w:pPr>
        <w:spacing w:line="360" w:lineRule="auto"/>
        <w:ind w:firstLine="480"/>
        <w:rPr>
          <w:bCs/>
          <w:sz w:val="24"/>
        </w:rPr>
      </w:pPr>
      <w:r>
        <w:rPr>
          <w:rFonts w:hint="eastAsia"/>
          <w:bCs/>
          <w:sz w:val="24"/>
        </w:rPr>
        <w:t>2</w:t>
      </w:r>
      <w:r>
        <w:rPr>
          <w:rFonts w:hint="eastAsia"/>
          <w:bCs/>
          <w:sz w:val="24"/>
        </w:rPr>
        <w:t>、处于未上市期间的有价证券应区分如下情况处理：</w:t>
      </w:r>
    </w:p>
    <w:p w14:paraId="7660F500" w14:textId="77777777" w:rsidR="007C736D" w:rsidRDefault="00662CFB">
      <w:pPr>
        <w:spacing w:line="360" w:lineRule="auto"/>
        <w:ind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14:paraId="19386493" w14:textId="77777777" w:rsidR="007C736D" w:rsidRDefault="00662CFB">
      <w:pPr>
        <w:spacing w:line="360" w:lineRule="auto"/>
        <w:ind w:firstLine="480"/>
        <w:rPr>
          <w:bCs/>
          <w:sz w:val="24"/>
        </w:rPr>
      </w:pPr>
      <w:r>
        <w:rPr>
          <w:rFonts w:hint="eastAsia"/>
          <w:bCs/>
          <w:sz w:val="24"/>
        </w:rPr>
        <w:t>（</w:t>
      </w:r>
      <w:r>
        <w:rPr>
          <w:rFonts w:hint="eastAsia"/>
          <w:bCs/>
          <w:sz w:val="24"/>
        </w:rPr>
        <w:t>2</w:t>
      </w:r>
      <w:r>
        <w:rPr>
          <w:rFonts w:hint="eastAsia"/>
          <w:bCs/>
          <w:sz w:val="24"/>
        </w:rPr>
        <w:t>）首次公开发行未上市的股票，采用估值技术确定公允价值；</w:t>
      </w:r>
    </w:p>
    <w:p w14:paraId="005AC913" w14:textId="77777777" w:rsidR="007C736D" w:rsidRDefault="00662CFB">
      <w:pPr>
        <w:spacing w:line="360" w:lineRule="auto"/>
        <w:ind w:firstLine="480"/>
        <w:rPr>
          <w:bCs/>
          <w:sz w:val="24"/>
        </w:rPr>
      </w:pPr>
      <w:r>
        <w:rPr>
          <w:rFonts w:hint="eastAsia"/>
          <w:bCs/>
          <w:sz w:val="24"/>
        </w:rPr>
        <w:t>（</w:t>
      </w: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F2356EE" w14:textId="77777777" w:rsidR="007C736D" w:rsidRDefault="00662CFB">
      <w:pPr>
        <w:spacing w:line="360" w:lineRule="auto"/>
        <w:ind w:firstLine="480"/>
        <w:rPr>
          <w:bCs/>
          <w:sz w:val="24"/>
        </w:rPr>
      </w:pPr>
      <w:r>
        <w:rPr>
          <w:rFonts w:hint="eastAsia"/>
          <w:bCs/>
          <w:sz w:val="24"/>
        </w:rPr>
        <w:lastRenderedPageBreak/>
        <w:t>3</w:t>
      </w:r>
      <w:r>
        <w:rPr>
          <w:rFonts w:hint="eastAsia"/>
          <w:bCs/>
          <w:sz w:val="24"/>
        </w:rPr>
        <w:t>、对全国银行间市场上不含权的固定收益品种，按照第三方估值基准服务机构提供的相应品种当日的估值全价估值。对于银行间市场上含权固定收益品种，按照第三方估值基准服务机构提供的相应品种当日的唯一估值全价或推荐估值全</w:t>
      </w:r>
      <w:r>
        <w:rPr>
          <w:rFonts w:hint="eastAsia"/>
          <w:bCs/>
          <w:sz w:val="24"/>
        </w:rPr>
        <w:t>价估值；对于银行间市场上含投资者回售权的固定收益品种，行使回售权的，在回售登记日至实际收款日期间按照第三方估值基准服务机构提供的相应品种的唯一估值全价或推荐估值全价估值，同时充分考虑发行人的信用风险变化对公允价值的影响。回售登记期截止日（含当日）后未行使回售权的按照长待偿期所对应的价格进行估值。</w:t>
      </w:r>
    </w:p>
    <w:p w14:paraId="7459F96A" w14:textId="77777777" w:rsidR="007C736D" w:rsidRDefault="00662CFB">
      <w:pPr>
        <w:spacing w:line="360" w:lineRule="auto"/>
        <w:ind w:firstLine="480"/>
        <w:rPr>
          <w:bCs/>
          <w:sz w:val="24"/>
        </w:rPr>
      </w:pPr>
      <w:r>
        <w:rPr>
          <w:rFonts w:hint="eastAsia"/>
          <w:bCs/>
          <w:sz w:val="24"/>
        </w:rPr>
        <w:t>对于未上市或未挂牌转让且不存在活跃市场的固定收益品种，应采用在当前情况下适用并且有足够可利用数据和其他信息支持的估值技术确定其公允价值。</w:t>
      </w:r>
    </w:p>
    <w:p w14:paraId="61B45C0E" w14:textId="77777777" w:rsidR="007C736D" w:rsidRDefault="00662CFB">
      <w:pPr>
        <w:spacing w:line="360" w:lineRule="auto"/>
        <w:ind w:firstLine="480"/>
        <w:rPr>
          <w:bCs/>
          <w:sz w:val="24"/>
        </w:rPr>
      </w:pPr>
      <w:r>
        <w:rPr>
          <w:rFonts w:hint="eastAsia"/>
          <w:bCs/>
          <w:sz w:val="24"/>
        </w:rPr>
        <w:t>4</w:t>
      </w:r>
      <w:r>
        <w:rPr>
          <w:rFonts w:hint="eastAsia"/>
          <w:bCs/>
          <w:sz w:val="24"/>
        </w:rPr>
        <w:t>、对于发行人已破产、发行人未能按时足额偿付本金或利息，或者有其它可靠信息表</w:t>
      </w:r>
      <w:r>
        <w:rPr>
          <w:rFonts w:hint="eastAsia"/>
          <w:bCs/>
          <w:sz w:val="24"/>
        </w:rPr>
        <w:t>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14:paraId="7E5A55B6" w14:textId="77777777" w:rsidR="007C736D" w:rsidRDefault="00662CFB">
      <w:pPr>
        <w:spacing w:line="360" w:lineRule="auto"/>
        <w:ind w:firstLine="480"/>
        <w:rPr>
          <w:bCs/>
          <w:sz w:val="24"/>
        </w:rPr>
      </w:pPr>
      <w:r>
        <w:rPr>
          <w:bCs/>
          <w:sz w:val="24"/>
        </w:rPr>
        <w:t>5</w:t>
      </w:r>
      <w:r>
        <w:rPr>
          <w:rFonts w:hint="eastAsia"/>
          <w:bCs/>
          <w:sz w:val="24"/>
        </w:rPr>
        <w:t>、本基金投资期货合约，一般以估值当日结算价进行估值，估值当日无结算价的，且最近交易日后经济环境未发生重大变化的，采用最近交易日结算价估值。</w:t>
      </w:r>
    </w:p>
    <w:p w14:paraId="5455DCA3" w14:textId="77777777" w:rsidR="007C736D" w:rsidRDefault="00662CFB">
      <w:pPr>
        <w:spacing w:line="360" w:lineRule="auto"/>
        <w:ind w:firstLine="480"/>
        <w:rPr>
          <w:bCs/>
          <w:sz w:val="24"/>
        </w:rPr>
      </w:pPr>
      <w:r>
        <w:rPr>
          <w:bCs/>
          <w:sz w:val="24"/>
        </w:rPr>
        <w:t>6</w:t>
      </w:r>
      <w:r>
        <w:rPr>
          <w:rFonts w:hint="eastAsia"/>
          <w:bCs/>
          <w:sz w:val="24"/>
        </w:rPr>
        <w:t>、存款的估值方法</w:t>
      </w:r>
    </w:p>
    <w:p w14:paraId="3F739262" w14:textId="77777777" w:rsidR="007C736D" w:rsidRDefault="00662CFB">
      <w:pPr>
        <w:spacing w:line="360" w:lineRule="auto"/>
        <w:ind w:firstLine="480"/>
        <w:rPr>
          <w:bCs/>
          <w:sz w:val="24"/>
        </w:rPr>
      </w:pPr>
      <w:r>
        <w:rPr>
          <w:rFonts w:hint="eastAsia"/>
          <w:bCs/>
          <w:sz w:val="24"/>
        </w:rPr>
        <w:t>持有的银行定期存款或通知存款按实际利率法逐日确认利息收入。</w:t>
      </w:r>
    </w:p>
    <w:p w14:paraId="4E44F0E4" w14:textId="77777777" w:rsidR="007C736D" w:rsidRDefault="00662CFB">
      <w:pPr>
        <w:spacing w:line="360" w:lineRule="auto"/>
        <w:ind w:firstLine="480"/>
        <w:rPr>
          <w:bCs/>
          <w:sz w:val="24"/>
        </w:rPr>
      </w:pPr>
      <w:r>
        <w:rPr>
          <w:bCs/>
          <w:sz w:val="24"/>
        </w:rPr>
        <w:t>7</w:t>
      </w:r>
      <w:r>
        <w:rPr>
          <w:rFonts w:hint="eastAsia"/>
          <w:bCs/>
          <w:sz w:val="24"/>
        </w:rPr>
        <w:t>、同一证券同时在两个或两个以上市场交易的，按证券所处的市场分别估值。</w:t>
      </w:r>
    </w:p>
    <w:p w14:paraId="76970D46" w14:textId="77777777" w:rsidR="007C736D" w:rsidRDefault="00662CFB">
      <w:pPr>
        <w:spacing w:line="360" w:lineRule="auto"/>
        <w:ind w:firstLine="480"/>
        <w:rPr>
          <w:bCs/>
          <w:sz w:val="24"/>
        </w:rPr>
      </w:pPr>
      <w:r>
        <w:rPr>
          <w:bCs/>
          <w:sz w:val="24"/>
        </w:rPr>
        <w:t>8</w:t>
      </w:r>
      <w:r>
        <w:rPr>
          <w:rFonts w:hint="eastAsia"/>
          <w:bCs/>
          <w:sz w:val="24"/>
        </w:rPr>
        <w:t>、本基金投资股票期权，根据相关法律法规以及监管部门的规定估值。</w:t>
      </w:r>
    </w:p>
    <w:p w14:paraId="64A37D15" w14:textId="77777777" w:rsidR="007C736D" w:rsidRDefault="00662CFB">
      <w:pPr>
        <w:spacing w:line="360" w:lineRule="auto"/>
        <w:ind w:firstLine="480"/>
        <w:rPr>
          <w:bCs/>
          <w:sz w:val="24"/>
        </w:rPr>
      </w:pPr>
      <w:r>
        <w:rPr>
          <w:bCs/>
          <w:sz w:val="24"/>
        </w:rPr>
        <w:t>9</w:t>
      </w:r>
      <w:r>
        <w:rPr>
          <w:rFonts w:hint="eastAsia"/>
          <w:bCs/>
          <w:sz w:val="24"/>
        </w:rPr>
        <w:t>、信用衍生品按第三方估值基准服务机构提供的当日的估值价格进行估值，但管理人依法应当承担的估值责任不因委托而免除；选定的第三方估值基准服务机构未提供估值价格的，依照有关法律法规及《企业会计准则》要求采用合理估值技术确定公允价值。</w:t>
      </w:r>
    </w:p>
    <w:p w14:paraId="3882596D" w14:textId="77777777" w:rsidR="007C736D" w:rsidRDefault="00662CFB">
      <w:pPr>
        <w:spacing w:line="360" w:lineRule="auto"/>
        <w:ind w:firstLine="480"/>
        <w:rPr>
          <w:bCs/>
          <w:sz w:val="24"/>
        </w:rPr>
      </w:pPr>
      <w:r>
        <w:rPr>
          <w:bCs/>
          <w:sz w:val="24"/>
        </w:rPr>
        <w:t>10</w:t>
      </w:r>
      <w:r>
        <w:rPr>
          <w:rFonts w:hint="eastAsia"/>
          <w:bCs/>
          <w:sz w:val="24"/>
        </w:rPr>
        <w:t>、本基金投资存托凭证的估值核算，依照境内上市交易的股票执行。</w:t>
      </w:r>
    </w:p>
    <w:p w14:paraId="0F30853E" w14:textId="77777777" w:rsidR="007C736D" w:rsidRDefault="00662CFB">
      <w:pPr>
        <w:spacing w:line="360" w:lineRule="auto"/>
        <w:ind w:firstLine="480"/>
        <w:rPr>
          <w:bCs/>
          <w:sz w:val="24"/>
        </w:rPr>
      </w:pPr>
      <w:r>
        <w:rPr>
          <w:rFonts w:hint="eastAsia"/>
          <w:bCs/>
          <w:sz w:val="24"/>
        </w:rPr>
        <w:lastRenderedPageBreak/>
        <w:t>1</w:t>
      </w:r>
      <w:r>
        <w:rPr>
          <w:bCs/>
          <w:sz w:val="24"/>
        </w:rPr>
        <w:t>1</w:t>
      </w:r>
      <w:r>
        <w:rPr>
          <w:rFonts w:hint="eastAsia"/>
          <w:bCs/>
          <w:sz w:val="24"/>
        </w:rPr>
        <w:t>、税收</w:t>
      </w:r>
    </w:p>
    <w:p w14:paraId="2FC78516" w14:textId="77777777" w:rsidR="007C736D" w:rsidRDefault="00662CFB">
      <w:pPr>
        <w:spacing w:line="360" w:lineRule="auto"/>
        <w:ind w:firstLine="480"/>
        <w:rPr>
          <w:bCs/>
          <w:sz w:val="24"/>
        </w:rPr>
      </w:pPr>
      <w:r>
        <w:rPr>
          <w:rFonts w:hint="eastAsia"/>
          <w:bCs/>
          <w:sz w:val="24"/>
        </w:rPr>
        <w:t>对于按照中国法律法规和基金投资境内外股票市场交易互联互通机制涉及的境</w:t>
      </w:r>
      <w:r>
        <w:rPr>
          <w:rFonts w:hint="eastAsia"/>
          <w:bCs/>
          <w:sz w:val="24"/>
        </w:rPr>
        <w:t>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4C22BD29" w14:textId="77777777" w:rsidR="007C736D" w:rsidRDefault="00662CFB">
      <w:pPr>
        <w:spacing w:line="360" w:lineRule="auto"/>
        <w:ind w:firstLine="480"/>
        <w:rPr>
          <w:bCs/>
          <w:sz w:val="24"/>
        </w:rPr>
      </w:pPr>
      <w:r>
        <w:rPr>
          <w:rFonts w:hint="eastAsia"/>
          <w:bCs/>
          <w:sz w:val="24"/>
        </w:rPr>
        <w:t>1</w:t>
      </w:r>
      <w:r>
        <w:rPr>
          <w:bCs/>
          <w:sz w:val="24"/>
        </w:rPr>
        <w:t>2</w:t>
      </w:r>
      <w:r>
        <w:rPr>
          <w:rFonts w:hint="eastAsia"/>
          <w:bCs/>
          <w:sz w:val="24"/>
        </w:rPr>
        <w:t>、</w:t>
      </w:r>
      <w:r>
        <w:rPr>
          <w:rFonts w:hint="eastAsia"/>
          <w:bCs/>
          <w:sz w:val="24"/>
        </w:rPr>
        <w:t xml:space="preserve"> </w:t>
      </w:r>
      <w:r>
        <w:rPr>
          <w:rFonts w:hint="eastAsia"/>
          <w:bCs/>
          <w:sz w:val="24"/>
        </w:rPr>
        <w:t>估值计算中涉及港币对人民币汇率的，将依据下列信息提供机构所提供的汇率为基准：当日中国人民银行或其授权机构公布的人民币与港币的中间价。</w:t>
      </w:r>
    </w:p>
    <w:p w14:paraId="2A0816A8" w14:textId="77777777" w:rsidR="007C736D" w:rsidRDefault="00662CFB">
      <w:pPr>
        <w:spacing w:line="360" w:lineRule="auto"/>
        <w:ind w:firstLine="480"/>
        <w:rPr>
          <w:bCs/>
          <w:sz w:val="24"/>
        </w:rPr>
      </w:pPr>
      <w:r>
        <w:rPr>
          <w:rFonts w:hint="eastAsia"/>
          <w:bCs/>
          <w:sz w:val="24"/>
        </w:rPr>
        <w:t>1</w:t>
      </w:r>
      <w:r>
        <w:rPr>
          <w:bCs/>
          <w:sz w:val="24"/>
        </w:rPr>
        <w:t>3</w:t>
      </w:r>
      <w:r>
        <w:rPr>
          <w:rFonts w:hint="eastAsia"/>
          <w:bCs/>
          <w:sz w:val="24"/>
        </w:rPr>
        <w:t>、如有确凿证据表明按上述方法进行估值不能客观反映其公允价值的，基金管理人可根据具体情况与基金托管人商定后，按最能反映公允价值的价格估值。</w:t>
      </w:r>
    </w:p>
    <w:p w14:paraId="1B077DF9" w14:textId="77777777" w:rsidR="007C736D" w:rsidRDefault="00662CFB">
      <w:pPr>
        <w:spacing w:line="360" w:lineRule="auto"/>
        <w:ind w:firstLine="480"/>
        <w:rPr>
          <w:bCs/>
          <w:sz w:val="24"/>
        </w:rPr>
      </w:pPr>
      <w:r>
        <w:rPr>
          <w:rFonts w:hint="eastAsia"/>
          <w:bCs/>
          <w:sz w:val="24"/>
        </w:rPr>
        <w:t>1</w:t>
      </w:r>
      <w:r>
        <w:rPr>
          <w:bCs/>
          <w:sz w:val="24"/>
        </w:rPr>
        <w:t>4</w:t>
      </w:r>
      <w:r>
        <w:rPr>
          <w:rFonts w:hint="eastAsia"/>
          <w:bCs/>
          <w:sz w:val="24"/>
        </w:rPr>
        <w:t>、当发生大额</w:t>
      </w:r>
      <w:r>
        <w:rPr>
          <w:rFonts w:hint="eastAsia"/>
          <w:bCs/>
          <w:sz w:val="24"/>
        </w:rPr>
        <w:t>申购或赎回情形时，基金管理人可以采用摆动定价机制，以确保基金估值的公平性。</w:t>
      </w:r>
    </w:p>
    <w:p w14:paraId="0CE6BF77" w14:textId="77777777" w:rsidR="007C736D" w:rsidRDefault="00662CFB">
      <w:pPr>
        <w:spacing w:line="360" w:lineRule="auto"/>
        <w:ind w:firstLine="480"/>
        <w:rPr>
          <w:bCs/>
          <w:sz w:val="24"/>
        </w:rPr>
      </w:pPr>
      <w:r>
        <w:rPr>
          <w:rFonts w:hint="eastAsia"/>
          <w:bCs/>
          <w:sz w:val="24"/>
        </w:rPr>
        <w:t>1</w:t>
      </w:r>
      <w:r>
        <w:rPr>
          <w:bCs/>
          <w:sz w:val="24"/>
        </w:rPr>
        <w:t>5</w:t>
      </w:r>
      <w:r>
        <w:rPr>
          <w:rFonts w:hint="eastAsia"/>
          <w:bCs/>
          <w:sz w:val="24"/>
        </w:rPr>
        <w:t>、相关法律法规以及监管部门有强制规定的，从其规定。如有新增事项，按国家最新规定估值。</w:t>
      </w:r>
    </w:p>
    <w:p w14:paraId="0A24B938" w14:textId="77777777" w:rsidR="007C736D" w:rsidRDefault="00662CFB">
      <w:pPr>
        <w:spacing w:line="360" w:lineRule="auto"/>
        <w:ind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2946CF2" w14:textId="77777777" w:rsidR="007C736D" w:rsidRDefault="00662CFB">
      <w:pPr>
        <w:spacing w:line="360" w:lineRule="auto"/>
        <w:ind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盖章的书面说明后，按照基金管理人对基金净值信息的计算结果对外予以公布。</w:t>
      </w:r>
    </w:p>
    <w:p w14:paraId="65ACE29F" w14:textId="77777777" w:rsidR="007C736D" w:rsidRDefault="00662CFB">
      <w:pPr>
        <w:spacing w:line="360" w:lineRule="auto"/>
        <w:ind w:firstLine="480"/>
        <w:rPr>
          <w:rFonts w:ascii="宋体" w:hAnsi="宋体"/>
          <w:sz w:val="24"/>
        </w:rPr>
      </w:pPr>
      <w:r>
        <w:rPr>
          <w:rFonts w:ascii="宋体" w:hAnsi="宋体" w:hint="eastAsia"/>
          <w:sz w:val="24"/>
        </w:rPr>
        <w:t>（三）基金净值信息</w:t>
      </w:r>
    </w:p>
    <w:p w14:paraId="223D980E" w14:textId="77777777" w:rsidR="007C736D" w:rsidRDefault="00662CFB">
      <w:pPr>
        <w:spacing w:line="360" w:lineRule="auto"/>
        <w:ind w:firstLine="480"/>
        <w:rPr>
          <w:bCs/>
          <w:sz w:val="24"/>
        </w:rPr>
      </w:pPr>
      <w:r>
        <w:rPr>
          <w:rFonts w:hint="eastAsia"/>
          <w:bCs/>
          <w:sz w:val="24"/>
        </w:rPr>
        <w:t>《基金合同》生效后，在开始办理基金份额申购或者赎回前，基金管理人应当至少每周在规定网站披露一次各类基金份额净值和基金份额累计净值。</w:t>
      </w:r>
    </w:p>
    <w:p w14:paraId="54C5C487" w14:textId="77777777" w:rsidR="007C736D" w:rsidRDefault="00662CFB">
      <w:pPr>
        <w:spacing w:line="360" w:lineRule="auto"/>
        <w:ind w:firstLine="480"/>
        <w:rPr>
          <w:bCs/>
          <w:sz w:val="24"/>
        </w:rPr>
      </w:pPr>
      <w:r>
        <w:rPr>
          <w:rFonts w:hint="eastAsia"/>
          <w:bCs/>
          <w:sz w:val="24"/>
        </w:rPr>
        <w:t>在开始办理基金份额申购或者赎回后，基金管理人应当在不晚于每个</w:t>
      </w:r>
      <w:r>
        <w:rPr>
          <w:rFonts w:hint="eastAsia"/>
          <w:bCs/>
          <w:sz w:val="24"/>
        </w:rPr>
        <w:t>开放日的次日，通过规定网站、基金销售机构网站或者营业网点披露开放日的各类</w:t>
      </w:r>
      <w:r>
        <w:rPr>
          <w:rFonts w:hint="eastAsia"/>
          <w:bCs/>
          <w:sz w:val="24"/>
        </w:rPr>
        <w:lastRenderedPageBreak/>
        <w:t>基金份额净值和基金份额累计净值。</w:t>
      </w:r>
    </w:p>
    <w:p w14:paraId="383CAB2E" w14:textId="77777777" w:rsidR="007C736D" w:rsidRDefault="00662CFB">
      <w:pPr>
        <w:spacing w:line="360" w:lineRule="auto"/>
        <w:ind w:firstLine="480"/>
        <w:rPr>
          <w:bCs/>
          <w:sz w:val="24"/>
        </w:rPr>
      </w:pPr>
      <w:r>
        <w:rPr>
          <w:rFonts w:hint="eastAsia"/>
          <w:bCs/>
          <w:sz w:val="24"/>
        </w:rPr>
        <w:t>基金管理人应当在不晚于半年度和年度最后一日的次日，在规定网站披露半年度和年度最后一日的各类基金份额净值和基金份额累计净值。</w:t>
      </w:r>
    </w:p>
    <w:p w14:paraId="27870CB7" w14:textId="77777777" w:rsidR="007C736D" w:rsidRDefault="00662CFB">
      <w:pPr>
        <w:spacing w:line="360" w:lineRule="auto"/>
        <w:ind w:firstLine="480"/>
        <w:rPr>
          <w:rFonts w:ascii="宋体" w:eastAsia="宋体" w:hAnsi="宋体"/>
          <w:sz w:val="24"/>
          <w:lang w:bidi="en-US"/>
        </w:rPr>
      </w:pPr>
      <w:r>
        <w:rPr>
          <w:rFonts w:ascii="宋体" w:hAnsi="宋体" w:hint="eastAsia"/>
          <w:sz w:val="24"/>
        </w:rPr>
        <w:t>七、基金合同解除和终止的事由、程序以及基金财产清算方式</w:t>
      </w:r>
    </w:p>
    <w:p w14:paraId="49AE5277" w14:textId="77777777" w:rsidR="007C736D" w:rsidRDefault="00662CFB">
      <w:pPr>
        <w:spacing w:line="360" w:lineRule="auto"/>
        <w:ind w:firstLine="480"/>
        <w:rPr>
          <w:rFonts w:ascii="宋体" w:eastAsia="宋体" w:hAnsi="宋体"/>
          <w:sz w:val="24"/>
          <w:lang w:bidi="en-US"/>
        </w:rPr>
      </w:pPr>
      <w:r>
        <w:rPr>
          <w:rFonts w:ascii="宋体" w:hAnsi="宋体" w:hint="eastAsia"/>
          <w:sz w:val="24"/>
        </w:rPr>
        <w:t>（一）《基金合同》的变更</w:t>
      </w:r>
    </w:p>
    <w:p w14:paraId="6D3A3995" w14:textId="77777777" w:rsidR="007C736D" w:rsidRDefault="00662CFB">
      <w:pPr>
        <w:spacing w:line="360" w:lineRule="auto"/>
        <w:ind w:firstLine="480"/>
        <w:rPr>
          <w:bCs/>
          <w:sz w:val="24"/>
        </w:rPr>
      </w:pPr>
      <w:r>
        <w:rPr>
          <w:rFonts w:hint="eastAsia"/>
          <w:bCs/>
          <w:sz w:val="24"/>
        </w:rPr>
        <w:t>1</w:t>
      </w:r>
      <w:r>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w:t>
      </w:r>
      <w:r>
        <w:rPr>
          <w:rFonts w:hint="eastAsia"/>
          <w:bCs/>
          <w:sz w:val="24"/>
        </w:rPr>
        <w:t>理人和基金托管人同意并履行适当程序后变更并公告。</w:t>
      </w:r>
    </w:p>
    <w:p w14:paraId="2BBEFBA9" w14:textId="77777777" w:rsidR="007C736D" w:rsidRDefault="00662CFB">
      <w:pPr>
        <w:spacing w:line="360" w:lineRule="auto"/>
        <w:ind w:firstLine="480"/>
        <w:rPr>
          <w:bCs/>
          <w:sz w:val="24"/>
        </w:rPr>
      </w:pPr>
      <w:r>
        <w:rPr>
          <w:rFonts w:hint="eastAsia"/>
          <w:bCs/>
          <w:sz w:val="24"/>
        </w:rPr>
        <w:t>2</w:t>
      </w:r>
      <w:r>
        <w:rPr>
          <w:rFonts w:hint="eastAsia"/>
          <w:bCs/>
          <w:sz w:val="24"/>
        </w:rPr>
        <w:t>、关于《基金合同》变更的基金份额持有人大会决议自生效后方可执行，自决议生效后两日内在规定媒介公告。</w:t>
      </w:r>
    </w:p>
    <w:p w14:paraId="6E1BC0B1" w14:textId="77777777" w:rsidR="007C736D" w:rsidRDefault="00662CFB">
      <w:pPr>
        <w:spacing w:line="360" w:lineRule="auto"/>
        <w:ind w:firstLine="480"/>
        <w:rPr>
          <w:rFonts w:ascii="宋体" w:eastAsia="宋体" w:hAnsi="宋体"/>
          <w:sz w:val="24"/>
          <w:lang w:bidi="en-US"/>
        </w:rPr>
      </w:pPr>
      <w:r>
        <w:rPr>
          <w:rFonts w:ascii="宋体" w:hAnsi="宋体" w:hint="eastAsia"/>
          <w:sz w:val="24"/>
        </w:rPr>
        <w:t>（二）《基金合同》的终止事由</w:t>
      </w:r>
    </w:p>
    <w:p w14:paraId="339F1528" w14:textId="77777777" w:rsidR="007C736D" w:rsidRDefault="00662CFB">
      <w:pPr>
        <w:spacing w:line="360" w:lineRule="auto"/>
        <w:ind w:firstLine="480"/>
        <w:rPr>
          <w:bCs/>
          <w:sz w:val="24"/>
        </w:rPr>
      </w:pPr>
      <w:r>
        <w:rPr>
          <w:rFonts w:hint="eastAsia"/>
          <w:bCs/>
          <w:sz w:val="24"/>
        </w:rPr>
        <w:t>有下列情形之一的，经履行相关程序后，《基金合同》应当终止：</w:t>
      </w:r>
    </w:p>
    <w:p w14:paraId="6595D091" w14:textId="77777777" w:rsidR="007C736D" w:rsidRDefault="00662CFB">
      <w:pPr>
        <w:spacing w:line="360" w:lineRule="auto"/>
        <w:ind w:firstLine="480"/>
        <w:rPr>
          <w:bCs/>
          <w:sz w:val="24"/>
        </w:rPr>
      </w:pPr>
      <w:r>
        <w:rPr>
          <w:rFonts w:hint="eastAsia"/>
          <w:bCs/>
          <w:sz w:val="24"/>
        </w:rPr>
        <w:t>1</w:t>
      </w:r>
      <w:r>
        <w:rPr>
          <w:rFonts w:hint="eastAsia"/>
          <w:bCs/>
          <w:sz w:val="24"/>
        </w:rPr>
        <w:t>、基金份额持有人大会决定终止的；</w:t>
      </w:r>
    </w:p>
    <w:p w14:paraId="7E140287" w14:textId="77777777" w:rsidR="007C736D" w:rsidRDefault="00662CFB">
      <w:pPr>
        <w:spacing w:line="360" w:lineRule="auto"/>
        <w:ind w:firstLine="480"/>
        <w:rPr>
          <w:bCs/>
          <w:sz w:val="24"/>
        </w:rPr>
      </w:pPr>
      <w:r>
        <w:rPr>
          <w:rFonts w:hint="eastAsia"/>
          <w:bCs/>
          <w:sz w:val="24"/>
        </w:rPr>
        <w:t>2</w:t>
      </w:r>
      <w:r>
        <w:rPr>
          <w:rFonts w:hint="eastAsia"/>
          <w:bCs/>
          <w:sz w:val="24"/>
        </w:rPr>
        <w:t>、基金管理人、基金托管人职责终止，在</w:t>
      </w:r>
      <w:r>
        <w:rPr>
          <w:rFonts w:hint="eastAsia"/>
          <w:bCs/>
          <w:sz w:val="24"/>
        </w:rPr>
        <w:t>6</w:t>
      </w:r>
      <w:r>
        <w:rPr>
          <w:rFonts w:hint="eastAsia"/>
          <w:bCs/>
          <w:sz w:val="24"/>
        </w:rPr>
        <w:t>个月内没有新基金管理人、新基金托管人承接的；</w:t>
      </w:r>
    </w:p>
    <w:p w14:paraId="2F1F9829" w14:textId="77777777" w:rsidR="007C736D" w:rsidRDefault="00662CFB">
      <w:pPr>
        <w:spacing w:line="360" w:lineRule="auto"/>
        <w:ind w:firstLine="480"/>
        <w:rPr>
          <w:bCs/>
          <w:sz w:val="24"/>
        </w:rPr>
      </w:pPr>
      <w:r>
        <w:rPr>
          <w:rFonts w:hint="eastAsia"/>
          <w:bCs/>
          <w:sz w:val="24"/>
        </w:rPr>
        <w:t>3</w:t>
      </w:r>
      <w:r>
        <w:rPr>
          <w:rFonts w:hint="eastAsia"/>
          <w:bCs/>
          <w:sz w:val="24"/>
        </w:rPr>
        <w:t>、《基金合同》约定的其他情形；</w:t>
      </w:r>
    </w:p>
    <w:p w14:paraId="38138C35" w14:textId="77777777" w:rsidR="007C736D" w:rsidRDefault="00662CFB">
      <w:pPr>
        <w:spacing w:line="360" w:lineRule="auto"/>
        <w:ind w:firstLine="480"/>
        <w:rPr>
          <w:bCs/>
          <w:sz w:val="24"/>
        </w:rPr>
      </w:pPr>
      <w:r>
        <w:rPr>
          <w:rFonts w:hint="eastAsia"/>
          <w:bCs/>
          <w:sz w:val="24"/>
        </w:rPr>
        <w:t>4</w:t>
      </w:r>
      <w:r>
        <w:rPr>
          <w:rFonts w:hint="eastAsia"/>
          <w:bCs/>
          <w:sz w:val="24"/>
        </w:rPr>
        <w:t>、相关法律法规和中国证监会规定的其他情况。</w:t>
      </w:r>
    </w:p>
    <w:p w14:paraId="4D821EF2" w14:textId="77777777" w:rsidR="007C736D" w:rsidRDefault="00662CFB">
      <w:pPr>
        <w:spacing w:line="360" w:lineRule="auto"/>
        <w:ind w:firstLine="480"/>
        <w:rPr>
          <w:rFonts w:ascii="宋体" w:eastAsia="宋体" w:hAnsi="宋体"/>
          <w:sz w:val="24"/>
          <w:lang w:bidi="en-US"/>
        </w:rPr>
      </w:pPr>
      <w:r>
        <w:rPr>
          <w:rFonts w:ascii="宋体" w:hAnsi="宋体" w:hint="eastAsia"/>
          <w:sz w:val="24"/>
        </w:rPr>
        <w:t>（三）基金财产的清算</w:t>
      </w:r>
    </w:p>
    <w:p w14:paraId="1A71FE95" w14:textId="77777777" w:rsidR="007C736D" w:rsidRDefault="00662CFB">
      <w:pPr>
        <w:spacing w:line="360" w:lineRule="auto"/>
        <w:ind w:firstLine="480"/>
        <w:rPr>
          <w:bCs/>
          <w:sz w:val="24"/>
        </w:rPr>
      </w:pPr>
      <w:r>
        <w:rPr>
          <w:rFonts w:hint="eastAsia"/>
          <w:bCs/>
          <w:sz w:val="24"/>
        </w:rPr>
        <w:t>1</w:t>
      </w:r>
      <w:r>
        <w:rPr>
          <w:rFonts w:hint="eastAsia"/>
          <w:bCs/>
          <w:sz w:val="24"/>
        </w:rPr>
        <w:t>、基金财产清算小组：自出现《基金合同》终止事由之日起</w:t>
      </w:r>
      <w:r>
        <w:rPr>
          <w:rFonts w:hint="eastAsia"/>
          <w:bCs/>
          <w:sz w:val="24"/>
        </w:rPr>
        <w:t>30</w:t>
      </w:r>
      <w:r>
        <w:rPr>
          <w:rFonts w:hint="eastAsia"/>
          <w:bCs/>
          <w:sz w:val="24"/>
        </w:rPr>
        <w:t>个工作日内成立基金财产清算小组，基金管理人组织基金财产清算小组并在中国证监会的监督下进行基金清算。</w:t>
      </w:r>
    </w:p>
    <w:p w14:paraId="45EF76FF" w14:textId="77777777" w:rsidR="007C736D" w:rsidRDefault="00662CFB">
      <w:pPr>
        <w:spacing w:line="360" w:lineRule="auto"/>
        <w:ind w:firstLine="480"/>
        <w:rPr>
          <w:bCs/>
          <w:sz w:val="24"/>
        </w:rPr>
      </w:pPr>
      <w:r>
        <w:rPr>
          <w:rFonts w:hint="eastAsia"/>
          <w:bCs/>
          <w:sz w:val="24"/>
        </w:rPr>
        <w:t>2</w:t>
      </w:r>
      <w:r>
        <w:rPr>
          <w:rFonts w:hint="eastAsia"/>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5DBE8F23" w14:textId="77777777" w:rsidR="007C736D" w:rsidRDefault="00662CFB">
      <w:pPr>
        <w:spacing w:line="360" w:lineRule="auto"/>
        <w:ind w:firstLine="480"/>
        <w:rPr>
          <w:bCs/>
          <w:sz w:val="24"/>
        </w:rPr>
      </w:pPr>
      <w:r>
        <w:rPr>
          <w:rFonts w:hint="eastAsia"/>
          <w:bCs/>
          <w:sz w:val="24"/>
        </w:rPr>
        <w:t>3</w:t>
      </w:r>
      <w:r>
        <w:rPr>
          <w:rFonts w:hint="eastAsia"/>
          <w:bCs/>
          <w:sz w:val="24"/>
        </w:rPr>
        <w:t>、基金财产清算小组职责：基金财产清算小组负责基金财产的保管、清理、估价、变现和分配。基金财产清算小组可以依法进行必要的民事活动。</w:t>
      </w:r>
    </w:p>
    <w:p w14:paraId="659A086D" w14:textId="77777777" w:rsidR="007C736D" w:rsidRDefault="00662CFB">
      <w:pPr>
        <w:spacing w:line="360" w:lineRule="auto"/>
        <w:ind w:firstLine="480"/>
        <w:rPr>
          <w:bCs/>
          <w:sz w:val="24"/>
        </w:rPr>
      </w:pPr>
      <w:r>
        <w:rPr>
          <w:rFonts w:hint="eastAsia"/>
          <w:bCs/>
          <w:sz w:val="24"/>
        </w:rPr>
        <w:t>4</w:t>
      </w:r>
      <w:r>
        <w:rPr>
          <w:rFonts w:hint="eastAsia"/>
          <w:bCs/>
          <w:sz w:val="24"/>
        </w:rPr>
        <w:t>、基金财产清算程序：</w:t>
      </w:r>
    </w:p>
    <w:p w14:paraId="41F04EC7" w14:textId="77777777" w:rsidR="007C736D" w:rsidRDefault="00662CFB">
      <w:pPr>
        <w:spacing w:line="360" w:lineRule="auto"/>
        <w:ind w:firstLine="480"/>
        <w:rPr>
          <w:bCs/>
          <w:sz w:val="24"/>
        </w:rPr>
      </w:pPr>
      <w:r>
        <w:rPr>
          <w:rFonts w:hint="eastAsia"/>
          <w:bCs/>
          <w:sz w:val="24"/>
        </w:rPr>
        <w:t>（</w:t>
      </w:r>
      <w:r>
        <w:rPr>
          <w:rFonts w:hint="eastAsia"/>
          <w:bCs/>
          <w:sz w:val="24"/>
        </w:rPr>
        <w:t>1</w:t>
      </w:r>
      <w:r>
        <w:rPr>
          <w:rFonts w:hint="eastAsia"/>
          <w:bCs/>
          <w:sz w:val="24"/>
        </w:rPr>
        <w:t>）《基金合同》终止情形出现时，由基金财产清算小组统一接管基金；</w:t>
      </w:r>
    </w:p>
    <w:p w14:paraId="41BDA027" w14:textId="77777777" w:rsidR="007C736D" w:rsidRDefault="00662CFB">
      <w:pPr>
        <w:spacing w:line="360" w:lineRule="auto"/>
        <w:ind w:firstLine="480"/>
        <w:rPr>
          <w:bCs/>
          <w:sz w:val="24"/>
        </w:rPr>
      </w:pPr>
      <w:r>
        <w:rPr>
          <w:rFonts w:hint="eastAsia"/>
          <w:bCs/>
          <w:sz w:val="24"/>
        </w:rPr>
        <w:lastRenderedPageBreak/>
        <w:t>（</w:t>
      </w:r>
      <w:r>
        <w:rPr>
          <w:rFonts w:hint="eastAsia"/>
          <w:bCs/>
          <w:sz w:val="24"/>
        </w:rPr>
        <w:t>2</w:t>
      </w:r>
      <w:r>
        <w:rPr>
          <w:rFonts w:hint="eastAsia"/>
          <w:bCs/>
          <w:sz w:val="24"/>
        </w:rPr>
        <w:t>）对基金财产和债权债务进行清理和确认；</w:t>
      </w:r>
    </w:p>
    <w:p w14:paraId="39C43AD1" w14:textId="77777777" w:rsidR="007C736D" w:rsidRDefault="00662CFB">
      <w:pPr>
        <w:spacing w:line="360" w:lineRule="auto"/>
        <w:ind w:firstLine="480"/>
        <w:rPr>
          <w:bCs/>
          <w:sz w:val="24"/>
        </w:rPr>
      </w:pPr>
      <w:r>
        <w:rPr>
          <w:rFonts w:hint="eastAsia"/>
          <w:bCs/>
          <w:sz w:val="24"/>
        </w:rPr>
        <w:t>（</w:t>
      </w:r>
      <w:r>
        <w:rPr>
          <w:rFonts w:hint="eastAsia"/>
          <w:bCs/>
          <w:sz w:val="24"/>
        </w:rPr>
        <w:t>3</w:t>
      </w:r>
      <w:r>
        <w:rPr>
          <w:rFonts w:hint="eastAsia"/>
          <w:bCs/>
          <w:sz w:val="24"/>
        </w:rPr>
        <w:t>）对基金财产进行估值和变现；</w:t>
      </w:r>
    </w:p>
    <w:p w14:paraId="3D9F786D" w14:textId="77777777" w:rsidR="007C736D" w:rsidRDefault="00662CFB">
      <w:pPr>
        <w:spacing w:line="360" w:lineRule="auto"/>
        <w:ind w:firstLine="480"/>
        <w:rPr>
          <w:bCs/>
          <w:sz w:val="24"/>
        </w:rPr>
      </w:pPr>
      <w:r>
        <w:rPr>
          <w:rFonts w:hint="eastAsia"/>
          <w:bCs/>
          <w:sz w:val="24"/>
        </w:rPr>
        <w:t>（</w:t>
      </w:r>
      <w:r>
        <w:rPr>
          <w:rFonts w:hint="eastAsia"/>
          <w:bCs/>
          <w:sz w:val="24"/>
        </w:rPr>
        <w:t>4</w:t>
      </w:r>
      <w:r>
        <w:rPr>
          <w:rFonts w:hint="eastAsia"/>
          <w:bCs/>
          <w:sz w:val="24"/>
        </w:rPr>
        <w:t>）制作清算报告；</w:t>
      </w:r>
    </w:p>
    <w:p w14:paraId="47D61230" w14:textId="77777777" w:rsidR="007C736D" w:rsidRDefault="00662CFB">
      <w:pPr>
        <w:spacing w:line="360" w:lineRule="auto"/>
        <w:ind w:firstLine="480"/>
        <w:rPr>
          <w:bCs/>
          <w:sz w:val="24"/>
        </w:rPr>
      </w:pPr>
      <w:r>
        <w:rPr>
          <w:rFonts w:hint="eastAsia"/>
          <w:bCs/>
          <w:sz w:val="24"/>
        </w:rPr>
        <w:t>（</w:t>
      </w:r>
      <w:r>
        <w:rPr>
          <w:rFonts w:hint="eastAsia"/>
          <w:bCs/>
          <w:sz w:val="24"/>
        </w:rPr>
        <w:t>5</w:t>
      </w:r>
      <w:r>
        <w:rPr>
          <w:rFonts w:hint="eastAsia"/>
          <w:bCs/>
          <w:sz w:val="24"/>
        </w:rPr>
        <w:t>）聘请会计师事务所对清算报告进行外部审计，聘请律师事务所对清算报告出具法律意见书；</w:t>
      </w:r>
    </w:p>
    <w:p w14:paraId="22C56FF3" w14:textId="77777777" w:rsidR="007C736D" w:rsidRDefault="00662CFB">
      <w:pPr>
        <w:spacing w:line="360" w:lineRule="auto"/>
        <w:ind w:firstLine="480"/>
        <w:rPr>
          <w:bCs/>
          <w:sz w:val="24"/>
        </w:rPr>
      </w:pPr>
      <w:r>
        <w:rPr>
          <w:rFonts w:hint="eastAsia"/>
          <w:bCs/>
          <w:sz w:val="24"/>
        </w:rPr>
        <w:t>（</w:t>
      </w:r>
      <w:r>
        <w:rPr>
          <w:rFonts w:hint="eastAsia"/>
          <w:bCs/>
          <w:sz w:val="24"/>
        </w:rPr>
        <w:t>6</w:t>
      </w:r>
      <w:r>
        <w:rPr>
          <w:rFonts w:hint="eastAsia"/>
          <w:bCs/>
          <w:sz w:val="24"/>
        </w:rPr>
        <w:t>）将清算报告报中国证监会备案并公告；</w:t>
      </w:r>
    </w:p>
    <w:p w14:paraId="3BE7D37B" w14:textId="77777777" w:rsidR="007C736D" w:rsidRDefault="00662CFB">
      <w:pPr>
        <w:spacing w:line="360" w:lineRule="auto"/>
        <w:ind w:firstLine="480"/>
        <w:rPr>
          <w:bCs/>
          <w:sz w:val="24"/>
        </w:rPr>
      </w:pPr>
      <w:r>
        <w:rPr>
          <w:rFonts w:hint="eastAsia"/>
          <w:bCs/>
          <w:sz w:val="24"/>
        </w:rPr>
        <w:t>（</w:t>
      </w:r>
      <w:r>
        <w:rPr>
          <w:rFonts w:hint="eastAsia"/>
          <w:bCs/>
          <w:sz w:val="24"/>
        </w:rPr>
        <w:t>7</w:t>
      </w:r>
      <w:r>
        <w:rPr>
          <w:rFonts w:hint="eastAsia"/>
          <w:bCs/>
          <w:sz w:val="24"/>
        </w:rPr>
        <w:t>）对基金剩余财产进行分配。</w:t>
      </w:r>
    </w:p>
    <w:p w14:paraId="12C57503" w14:textId="77777777" w:rsidR="007C736D" w:rsidRDefault="00662CFB">
      <w:pPr>
        <w:spacing w:line="360" w:lineRule="auto"/>
        <w:ind w:firstLine="480"/>
        <w:rPr>
          <w:bCs/>
          <w:sz w:val="24"/>
        </w:rPr>
      </w:pPr>
      <w:r>
        <w:rPr>
          <w:rFonts w:hint="eastAsia"/>
          <w:bCs/>
          <w:sz w:val="24"/>
        </w:rPr>
        <w:t>5</w:t>
      </w:r>
      <w:r>
        <w:rPr>
          <w:rFonts w:hint="eastAsia"/>
          <w:bCs/>
          <w:sz w:val="24"/>
        </w:rPr>
        <w:t>、基金财产清算的期限为</w:t>
      </w:r>
      <w:r>
        <w:rPr>
          <w:rFonts w:hint="eastAsia"/>
          <w:bCs/>
          <w:sz w:val="24"/>
        </w:rPr>
        <w:t>6</w:t>
      </w:r>
      <w:r>
        <w:rPr>
          <w:rFonts w:hint="eastAsia"/>
          <w:bCs/>
          <w:sz w:val="24"/>
        </w:rPr>
        <w:t>个月，但因本基金所持证券的流动性受到限制而不能及时变现的，清算期限相应顺延。</w:t>
      </w:r>
    </w:p>
    <w:p w14:paraId="2D9ACE33" w14:textId="77777777" w:rsidR="007C736D" w:rsidRDefault="00662CFB">
      <w:pPr>
        <w:spacing w:line="360" w:lineRule="auto"/>
        <w:ind w:firstLine="480"/>
        <w:rPr>
          <w:bCs/>
          <w:sz w:val="24"/>
        </w:rPr>
      </w:pPr>
      <w:r>
        <w:rPr>
          <w:rFonts w:hint="eastAsia"/>
          <w:bCs/>
          <w:sz w:val="24"/>
        </w:rPr>
        <w:t>（</w:t>
      </w:r>
      <w:r>
        <w:rPr>
          <w:bCs/>
          <w:sz w:val="24"/>
        </w:rPr>
        <w:t>四</w:t>
      </w:r>
      <w:r>
        <w:rPr>
          <w:rFonts w:hint="eastAsia"/>
          <w:bCs/>
          <w:sz w:val="24"/>
        </w:rPr>
        <w:t>）</w:t>
      </w:r>
      <w:r>
        <w:rPr>
          <w:bCs/>
          <w:sz w:val="24"/>
        </w:rPr>
        <w:t>清算费用</w:t>
      </w:r>
    </w:p>
    <w:p w14:paraId="224B2B62" w14:textId="77777777" w:rsidR="007C736D" w:rsidRDefault="00662CFB">
      <w:pPr>
        <w:spacing w:line="360" w:lineRule="auto"/>
        <w:ind w:firstLine="480"/>
        <w:rPr>
          <w:bCs/>
          <w:sz w:val="24"/>
        </w:rPr>
      </w:pPr>
      <w:r>
        <w:rPr>
          <w:bCs/>
          <w:sz w:val="24"/>
        </w:rPr>
        <w:t>清算费用是指基金财产清算小组在进行基金清算过程中发生的所有合理费用</w:t>
      </w:r>
      <w:r>
        <w:rPr>
          <w:bCs/>
          <w:sz w:val="24"/>
        </w:rPr>
        <w:t>，清算费用由基金财产清算小组优先从基金</w:t>
      </w:r>
      <w:r>
        <w:rPr>
          <w:rFonts w:hint="eastAsia"/>
          <w:bCs/>
          <w:sz w:val="24"/>
        </w:rPr>
        <w:t>剩余</w:t>
      </w:r>
      <w:r>
        <w:rPr>
          <w:bCs/>
          <w:sz w:val="24"/>
        </w:rPr>
        <w:t>财产中支付。</w:t>
      </w:r>
    </w:p>
    <w:p w14:paraId="7AC43397" w14:textId="77777777" w:rsidR="007C736D" w:rsidRDefault="00662CFB">
      <w:pPr>
        <w:spacing w:line="360" w:lineRule="auto"/>
        <w:ind w:firstLine="480"/>
        <w:rPr>
          <w:bCs/>
          <w:sz w:val="24"/>
        </w:rPr>
      </w:pPr>
      <w:r>
        <w:rPr>
          <w:rFonts w:hint="eastAsia"/>
          <w:bCs/>
          <w:sz w:val="24"/>
        </w:rPr>
        <w:t>（</w:t>
      </w:r>
      <w:r>
        <w:rPr>
          <w:bCs/>
          <w:sz w:val="24"/>
        </w:rPr>
        <w:t>五</w:t>
      </w:r>
      <w:r>
        <w:rPr>
          <w:rFonts w:hint="eastAsia"/>
          <w:bCs/>
          <w:sz w:val="24"/>
        </w:rPr>
        <w:t>）</w:t>
      </w:r>
      <w:r>
        <w:rPr>
          <w:bCs/>
          <w:sz w:val="24"/>
        </w:rPr>
        <w:t>基金财产清算剩余资产的分配</w:t>
      </w:r>
    </w:p>
    <w:p w14:paraId="4C915AA3" w14:textId="77777777" w:rsidR="007C736D" w:rsidRDefault="00662CFB">
      <w:pPr>
        <w:spacing w:line="360" w:lineRule="auto"/>
        <w:ind w:firstLine="480"/>
        <w:rPr>
          <w:bCs/>
          <w:sz w:val="24"/>
        </w:rPr>
      </w:pPr>
      <w:r>
        <w:rPr>
          <w:bCs/>
          <w:sz w:val="24"/>
        </w:rPr>
        <w:t>依据基金财产清算的分配方案，将基金财产清算后的全部剩余资产扣除基金财产清算费用、交纳所欠税款并清偿基金债务后，按基金份额持有人持有的</w:t>
      </w:r>
      <w:r>
        <w:rPr>
          <w:rFonts w:hint="eastAsia"/>
          <w:bCs/>
          <w:sz w:val="24"/>
        </w:rPr>
        <w:t>各类</w:t>
      </w:r>
      <w:r>
        <w:rPr>
          <w:bCs/>
          <w:sz w:val="24"/>
        </w:rPr>
        <w:t>基金份额比例进行分配。</w:t>
      </w:r>
    </w:p>
    <w:p w14:paraId="16643D4E" w14:textId="77777777" w:rsidR="007C736D" w:rsidRDefault="00662CFB">
      <w:pPr>
        <w:spacing w:line="360" w:lineRule="auto"/>
        <w:ind w:firstLine="480"/>
        <w:rPr>
          <w:bCs/>
          <w:sz w:val="24"/>
        </w:rPr>
      </w:pPr>
      <w:r>
        <w:rPr>
          <w:rFonts w:hint="eastAsia"/>
          <w:bCs/>
          <w:sz w:val="24"/>
        </w:rPr>
        <w:t>（</w:t>
      </w:r>
      <w:r>
        <w:rPr>
          <w:bCs/>
          <w:sz w:val="24"/>
        </w:rPr>
        <w:t>六</w:t>
      </w:r>
      <w:r>
        <w:rPr>
          <w:rFonts w:hint="eastAsia"/>
          <w:bCs/>
          <w:sz w:val="24"/>
        </w:rPr>
        <w:t>）</w:t>
      </w:r>
      <w:r>
        <w:rPr>
          <w:bCs/>
          <w:sz w:val="24"/>
        </w:rPr>
        <w:t>基金财产清算的公告</w:t>
      </w:r>
    </w:p>
    <w:p w14:paraId="0B2B4E57" w14:textId="77777777" w:rsidR="007C736D" w:rsidRDefault="00662CFB">
      <w:pPr>
        <w:spacing w:line="360" w:lineRule="auto"/>
        <w:ind w:firstLine="480"/>
        <w:rPr>
          <w:bCs/>
          <w:sz w:val="24"/>
        </w:rPr>
      </w:pPr>
      <w:r>
        <w:rPr>
          <w:bCs/>
          <w:sz w:val="24"/>
        </w:rPr>
        <w:t>清算过程中的有关重大事项须及时公告；基金财产清算报告经</w:t>
      </w:r>
      <w:r>
        <w:rPr>
          <w:rFonts w:hint="eastAsia"/>
          <w:bCs/>
          <w:sz w:val="24"/>
        </w:rPr>
        <w:t>符合《中华人民共和国证券法》规定的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14:paraId="4AE6E303" w14:textId="77777777" w:rsidR="007C736D" w:rsidRDefault="00662CFB">
      <w:pPr>
        <w:spacing w:line="360" w:lineRule="auto"/>
        <w:ind w:firstLine="480"/>
        <w:rPr>
          <w:bCs/>
          <w:sz w:val="24"/>
        </w:rPr>
      </w:pPr>
      <w:r>
        <w:rPr>
          <w:rFonts w:hint="eastAsia"/>
          <w:bCs/>
          <w:sz w:val="24"/>
        </w:rPr>
        <w:t>（</w:t>
      </w:r>
      <w:r>
        <w:rPr>
          <w:bCs/>
          <w:sz w:val="24"/>
        </w:rPr>
        <w:t>七</w:t>
      </w:r>
      <w:r>
        <w:rPr>
          <w:rFonts w:hint="eastAsia"/>
          <w:bCs/>
          <w:sz w:val="24"/>
        </w:rPr>
        <w:t>）</w:t>
      </w:r>
      <w:r>
        <w:rPr>
          <w:bCs/>
          <w:sz w:val="24"/>
        </w:rPr>
        <w:t>基金财产清算账册及文件的保存</w:t>
      </w:r>
    </w:p>
    <w:p w14:paraId="009D194C" w14:textId="77777777" w:rsidR="007C736D" w:rsidRDefault="00662CFB">
      <w:pPr>
        <w:spacing w:line="360" w:lineRule="auto"/>
        <w:ind w:firstLine="480"/>
        <w:rPr>
          <w:bCs/>
          <w:sz w:val="24"/>
        </w:rPr>
      </w:pPr>
      <w:r>
        <w:rPr>
          <w:bCs/>
          <w:sz w:val="24"/>
        </w:rPr>
        <w:t>基金财产清算账册及有关文件由基金托管人保存</w:t>
      </w:r>
      <w:r>
        <w:rPr>
          <w:rFonts w:hint="eastAsia"/>
          <w:bCs/>
          <w:sz w:val="24"/>
        </w:rPr>
        <w:t>，保存期限不低于法律法规规定的最低期限</w:t>
      </w:r>
      <w:r>
        <w:rPr>
          <w:bCs/>
          <w:sz w:val="24"/>
        </w:rPr>
        <w:t>。</w:t>
      </w:r>
    </w:p>
    <w:p w14:paraId="69BE8E33" w14:textId="77777777" w:rsidR="007C736D" w:rsidRDefault="00662CFB">
      <w:pPr>
        <w:spacing w:line="360" w:lineRule="auto"/>
        <w:ind w:firstLine="480"/>
        <w:rPr>
          <w:rFonts w:ascii="宋体" w:eastAsia="宋体" w:hAnsi="宋体"/>
          <w:sz w:val="24"/>
          <w:lang w:bidi="en-US"/>
        </w:rPr>
      </w:pPr>
      <w:r>
        <w:rPr>
          <w:rFonts w:ascii="宋体" w:hAnsi="宋体" w:hint="eastAsia"/>
          <w:sz w:val="24"/>
        </w:rPr>
        <w:t>八、争议解决方式</w:t>
      </w:r>
    </w:p>
    <w:p w14:paraId="6BB95D78" w14:textId="77777777" w:rsidR="007C736D" w:rsidRDefault="00662CFB">
      <w:pPr>
        <w:spacing w:line="360" w:lineRule="auto"/>
        <w:ind w:firstLine="480"/>
        <w:rPr>
          <w:bCs/>
          <w:sz w:val="24"/>
        </w:rPr>
      </w:pPr>
      <w:r>
        <w:rPr>
          <w:rFonts w:hint="eastAsia"/>
          <w:bCs/>
          <w:sz w:val="24"/>
        </w:rPr>
        <w:t>各方当事人同意，因基金合同而产生的或与基金合同有关的一切争议，如经友好协商未能解决的，任何一方应当将争议提交中国国际经济贸易仲裁委员会，仲裁地点为北京市，按照中国国际经济贸易仲裁委员会届时有效的仲裁规</w:t>
      </w:r>
      <w:r>
        <w:rPr>
          <w:rFonts w:hint="eastAsia"/>
          <w:bCs/>
          <w:sz w:val="24"/>
        </w:rPr>
        <w:lastRenderedPageBreak/>
        <w:t>则进行仲裁。仲裁裁决是终局的，对当事人均有约束</w:t>
      </w:r>
      <w:r>
        <w:rPr>
          <w:rFonts w:hint="eastAsia"/>
          <w:bCs/>
          <w:sz w:val="24"/>
        </w:rPr>
        <w:t>力。除非仲裁裁决另有规定，仲裁费由败诉方承担。</w:t>
      </w:r>
    </w:p>
    <w:p w14:paraId="41C412F4" w14:textId="77777777" w:rsidR="007C736D" w:rsidRDefault="00662CFB">
      <w:pPr>
        <w:spacing w:line="360" w:lineRule="auto"/>
        <w:ind w:firstLine="480"/>
        <w:rPr>
          <w:bCs/>
          <w:sz w:val="24"/>
        </w:rPr>
      </w:pPr>
      <w:r>
        <w:rPr>
          <w:rFonts w:hint="eastAsia"/>
          <w:bCs/>
          <w:sz w:val="24"/>
        </w:rPr>
        <w:t>争议处理期间，基金管理人和基金托管人应恪守各自的职责，继续忠实、勤勉、尽责地履行基金合同和托管协议规定的义务，维护基金份额持有人的合法权益。</w:t>
      </w:r>
    </w:p>
    <w:p w14:paraId="668F817A" w14:textId="77777777" w:rsidR="007C736D" w:rsidRDefault="00662CFB">
      <w:pPr>
        <w:spacing w:line="360" w:lineRule="auto"/>
        <w:ind w:firstLine="480"/>
        <w:rPr>
          <w:bCs/>
          <w:sz w:val="24"/>
        </w:rPr>
      </w:pPr>
      <w:r>
        <w:rPr>
          <w:rFonts w:hint="eastAsia"/>
          <w:bCs/>
          <w:sz w:val="24"/>
        </w:rPr>
        <w:t>基金合同受中国法律（为本基金合同之目的，在此不包括香港、澳门特别行政区和台湾地区法律）管辖并从其解释。</w:t>
      </w:r>
    </w:p>
    <w:p w14:paraId="6EF755E9" w14:textId="77777777" w:rsidR="007C736D" w:rsidRDefault="00662CFB">
      <w:pPr>
        <w:spacing w:line="360" w:lineRule="auto"/>
        <w:ind w:firstLine="480"/>
        <w:rPr>
          <w:rFonts w:ascii="宋体" w:eastAsia="宋体" w:hAnsi="宋体"/>
          <w:sz w:val="24"/>
          <w:lang w:bidi="en-US"/>
        </w:rPr>
      </w:pPr>
      <w:r>
        <w:rPr>
          <w:rFonts w:ascii="宋体" w:hAnsi="宋体" w:hint="eastAsia"/>
          <w:sz w:val="24"/>
        </w:rPr>
        <w:t>九、基金合同存放地和投资人取得基金合同的方式</w:t>
      </w:r>
    </w:p>
    <w:p w14:paraId="76B09ACD" w14:textId="77777777" w:rsidR="007C736D" w:rsidRDefault="00662CFB">
      <w:pPr>
        <w:spacing w:line="360" w:lineRule="auto"/>
        <w:ind w:firstLine="480"/>
        <w:rPr>
          <w:rFonts w:ascii="宋体" w:hAnsi="宋体"/>
          <w:sz w:val="24"/>
        </w:rPr>
      </w:pPr>
      <w:r>
        <w:rPr>
          <w:bCs/>
          <w:sz w:val="24"/>
        </w:rPr>
        <w:t>《基金合同》可印制成册，供投资者在基金管理人、基金托管人、销售机构的办公场所和营业场所查阅</w:t>
      </w:r>
      <w:r>
        <w:rPr>
          <w:rFonts w:ascii="宋体" w:hAnsi="宋体" w:hint="eastAsia"/>
          <w:sz w:val="24"/>
        </w:rPr>
        <w:t>。</w:t>
      </w:r>
    </w:p>
    <w:p w14:paraId="04FB2B9E" w14:textId="77777777" w:rsidR="007C736D" w:rsidRDefault="00662CFB">
      <w:pPr>
        <w:rPr>
          <w:rFonts w:ascii="宋体" w:hAnsi="宋体"/>
          <w:sz w:val="24"/>
        </w:rPr>
      </w:pPr>
      <w:r>
        <w:rPr>
          <w:rFonts w:ascii="宋体" w:hAnsi="宋体" w:hint="eastAsia"/>
          <w:sz w:val="24"/>
        </w:rPr>
        <w:br w:type="page"/>
      </w:r>
    </w:p>
    <w:p w14:paraId="34509287" w14:textId="1C7DA055" w:rsidR="007C736D" w:rsidRDefault="00662CFB">
      <w:pPr>
        <w:spacing w:line="360" w:lineRule="auto"/>
        <w:jc w:val="left"/>
        <w:rPr>
          <w:sz w:val="24"/>
        </w:rPr>
      </w:pPr>
      <w:r>
        <w:rPr>
          <w:rFonts w:ascii="宋体" w:hAnsi="宋体" w:hint="eastAsia"/>
          <w:sz w:val="24"/>
        </w:rPr>
        <w:lastRenderedPageBreak/>
        <w:t>本页无正文，为《平安港股通科技精选混合型证券投资基金基金合同</w:t>
      </w:r>
      <w:r>
        <w:rPr>
          <w:rFonts w:ascii="宋体" w:hAnsi="宋体" w:hint="eastAsia"/>
          <w:sz w:val="24"/>
        </w:rPr>
        <w:t>》签字页。</w:t>
      </w:r>
    </w:p>
    <w:p w14:paraId="67609241" w14:textId="77777777" w:rsidR="007C736D" w:rsidRDefault="007C736D">
      <w:pPr>
        <w:spacing w:line="360" w:lineRule="auto"/>
        <w:ind w:firstLine="425"/>
        <w:rPr>
          <w:rFonts w:ascii="宋体" w:hAnsi="宋体"/>
          <w:sz w:val="24"/>
        </w:rPr>
      </w:pPr>
    </w:p>
    <w:p w14:paraId="22F3A54D" w14:textId="77777777" w:rsidR="007C736D" w:rsidRPr="00EA3410" w:rsidRDefault="007C736D">
      <w:pPr>
        <w:spacing w:line="360" w:lineRule="auto"/>
        <w:ind w:firstLine="425"/>
        <w:rPr>
          <w:rFonts w:ascii="宋体" w:hAnsi="宋体"/>
          <w:sz w:val="24"/>
        </w:rPr>
      </w:pPr>
    </w:p>
    <w:p w14:paraId="538315CF" w14:textId="77777777" w:rsidR="007C736D" w:rsidRDefault="007C736D">
      <w:pPr>
        <w:spacing w:line="360" w:lineRule="auto"/>
        <w:ind w:right="26"/>
        <w:rPr>
          <w:rFonts w:ascii="宋体" w:hAnsi="宋体"/>
          <w:sz w:val="24"/>
        </w:rPr>
      </w:pPr>
    </w:p>
    <w:p w14:paraId="080D8034" w14:textId="77777777" w:rsidR="007C736D" w:rsidRDefault="00662CFB">
      <w:pPr>
        <w:spacing w:line="360" w:lineRule="auto"/>
        <w:ind w:right="26"/>
        <w:rPr>
          <w:rFonts w:ascii="宋体" w:hAnsi="宋体"/>
          <w:sz w:val="24"/>
        </w:rPr>
      </w:pPr>
      <w:r>
        <w:rPr>
          <w:rFonts w:ascii="宋体" w:hAnsi="宋体" w:hint="eastAsia"/>
          <w:sz w:val="24"/>
        </w:rPr>
        <w:t>基金管理人：平安基金管理有限公司（公章或合同专用章）</w:t>
      </w:r>
    </w:p>
    <w:p w14:paraId="5E18E05A" w14:textId="77777777" w:rsidR="007C736D" w:rsidRDefault="007C736D">
      <w:pPr>
        <w:spacing w:line="360" w:lineRule="auto"/>
        <w:ind w:right="26"/>
        <w:rPr>
          <w:rFonts w:ascii="宋体" w:hAnsi="宋体"/>
          <w:sz w:val="24"/>
        </w:rPr>
      </w:pPr>
    </w:p>
    <w:p w14:paraId="153D25C8" w14:textId="77777777" w:rsidR="007C736D" w:rsidRDefault="007C736D">
      <w:pPr>
        <w:spacing w:line="360" w:lineRule="auto"/>
        <w:ind w:right="26"/>
        <w:rPr>
          <w:rFonts w:ascii="宋体" w:hAnsi="宋体"/>
          <w:sz w:val="24"/>
        </w:rPr>
      </w:pPr>
    </w:p>
    <w:p w14:paraId="37BB4359" w14:textId="77777777" w:rsidR="007C736D" w:rsidRDefault="007C736D">
      <w:pPr>
        <w:spacing w:line="360" w:lineRule="auto"/>
        <w:ind w:right="26"/>
        <w:rPr>
          <w:rFonts w:ascii="宋体" w:hAnsi="宋体"/>
          <w:sz w:val="24"/>
        </w:rPr>
      </w:pPr>
    </w:p>
    <w:p w14:paraId="1C31B9FA" w14:textId="77777777" w:rsidR="007C736D" w:rsidRDefault="00662CFB">
      <w:pPr>
        <w:spacing w:line="360" w:lineRule="auto"/>
        <w:ind w:right="26"/>
        <w:rPr>
          <w:rFonts w:ascii="宋体" w:hAnsi="宋体"/>
          <w:sz w:val="24"/>
        </w:rPr>
      </w:pPr>
      <w:r>
        <w:rPr>
          <w:rFonts w:ascii="宋体" w:hAnsi="宋体" w:hint="eastAsia"/>
          <w:sz w:val="24"/>
        </w:rPr>
        <w:t>法定代表人或授权代表：</w:t>
      </w:r>
      <w:r>
        <w:rPr>
          <w:rFonts w:ascii="宋体" w:hAnsi="宋体" w:hint="eastAsia"/>
          <w:sz w:val="24"/>
        </w:rPr>
        <w:t xml:space="preserve">            </w:t>
      </w:r>
      <w:r>
        <w:rPr>
          <w:rFonts w:ascii="宋体" w:hAnsi="宋体" w:hint="eastAsia"/>
          <w:sz w:val="24"/>
        </w:rPr>
        <w:t>（签字或</w:t>
      </w:r>
      <w:r>
        <w:rPr>
          <w:rFonts w:ascii="宋体" w:hAnsi="宋体"/>
          <w:sz w:val="24"/>
        </w:rPr>
        <w:t>盖</w:t>
      </w:r>
      <w:r>
        <w:rPr>
          <w:rFonts w:ascii="宋体" w:hAnsi="宋体" w:hint="eastAsia"/>
          <w:sz w:val="24"/>
        </w:rPr>
        <w:t>章）</w:t>
      </w:r>
    </w:p>
    <w:p w14:paraId="6C44CEC8" w14:textId="77777777" w:rsidR="007C736D" w:rsidRDefault="007C736D">
      <w:pPr>
        <w:spacing w:line="360" w:lineRule="auto"/>
        <w:ind w:right="26"/>
        <w:rPr>
          <w:rFonts w:ascii="宋体" w:hAnsi="宋体"/>
          <w:sz w:val="24"/>
        </w:rPr>
      </w:pPr>
    </w:p>
    <w:p w14:paraId="1FB42232" w14:textId="77777777" w:rsidR="007C736D" w:rsidRDefault="007C736D">
      <w:pPr>
        <w:spacing w:line="360" w:lineRule="auto"/>
        <w:ind w:right="26"/>
        <w:rPr>
          <w:rFonts w:ascii="宋体" w:hAnsi="宋体"/>
          <w:sz w:val="24"/>
        </w:rPr>
      </w:pPr>
    </w:p>
    <w:p w14:paraId="4BF5242B" w14:textId="06FAF0A5" w:rsidR="007C736D" w:rsidRDefault="00662CFB">
      <w:pPr>
        <w:spacing w:line="360" w:lineRule="auto"/>
        <w:ind w:right="26"/>
        <w:rPr>
          <w:bCs/>
          <w:sz w:val="24"/>
          <w:szCs w:val="24"/>
        </w:rPr>
      </w:pPr>
      <w:r>
        <w:rPr>
          <w:rFonts w:ascii="宋体" w:hAnsi="宋体" w:hint="eastAsia"/>
          <w:sz w:val="24"/>
        </w:rPr>
        <w:t>签</w:t>
      </w:r>
      <w:r>
        <w:rPr>
          <w:rFonts w:ascii="宋体" w:hAnsi="宋体" w:hint="eastAsia"/>
          <w:sz w:val="24"/>
        </w:rPr>
        <w:t xml:space="preserve"> </w:t>
      </w:r>
      <w:r>
        <w:rPr>
          <w:rFonts w:ascii="宋体" w:hAnsi="宋体" w:hint="eastAsia"/>
          <w:sz w:val="24"/>
        </w:rPr>
        <w:t>订</w:t>
      </w:r>
      <w:r>
        <w:rPr>
          <w:rFonts w:ascii="宋体" w:hAnsi="宋体" w:hint="eastAsia"/>
          <w:sz w:val="24"/>
        </w:rPr>
        <w:t xml:space="preserve"> </w:t>
      </w:r>
      <w:r>
        <w:rPr>
          <w:rFonts w:ascii="宋体" w:hAnsi="宋体" w:hint="eastAsia"/>
          <w:sz w:val="24"/>
        </w:rPr>
        <w:t>日：</w:t>
      </w:r>
      <w:r w:rsidR="00EA3410">
        <w:rPr>
          <w:rFonts w:ascii="宋体" w:hAnsi="宋体" w:hint="eastAsia"/>
          <w:sz w:val="24"/>
        </w:rPr>
        <w:t xml:space="preserve"> </w:t>
      </w:r>
      <w:r w:rsidR="00EA3410">
        <w:rPr>
          <w:rFonts w:ascii="宋体" w:hAnsi="宋体"/>
          <w:sz w:val="24"/>
        </w:rPr>
        <w:t xml:space="preserve"> </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sidR="00EA3410">
        <w:rPr>
          <w:rFonts w:ascii="宋体" w:hAnsi="宋体"/>
          <w:sz w:val="24"/>
        </w:rPr>
        <w:t xml:space="preserve"> </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sidR="00EA3410">
        <w:rPr>
          <w:rFonts w:ascii="宋体" w:hAnsi="宋体"/>
          <w:sz w:val="24"/>
        </w:rPr>
        <w:t xml:space="preserve"> </w:t>
      </w:r>
      <w:r>
        <w:rPr>
          <w:rFonts w:ascii="宋体" w:hAnsi="宋体" w:hint="eastAsia"/>
          <w:sz w:val="24"/>
        </w:rPr>
        <w:t xml:space="preserve"> </w:t>
      </w:r>
      <w:r>
        <w:rPr>
          <w:rFonts w:ascii="宋体" w:hAnsi="宋体" w:hint="eastAsia"/>
          <w:sz w:val="24"/>
        </w:rPr>
        <w:t>日</w:t>
      </w:r>
    </w:p>
    <w:p w14:paraId="23635F35" w14:textId="77777777" w:rsidR="007C736D" w:rsidRDefault="007C736D">
      <w:pPr>
        <w:spacing w:line="360" w:lineRule="auto"/>
        <w:ind w:right="26"/>
        <w:rPr>
          <w:rFonts w:ascii="宋体" w:hAnsi="宋体"/>
          <w:sz w:val="24"/>
        </w:rPr>
      </w:pPr>
    </w:p>
    <w:p w14:paraId="67C6719D" w14:textId="77777777" w:rsidR="007C736D" w:rsidRDefault="007C736D">
      <w:pPr>
        <w:spacing w:line="360" w:lineRule="auto"/>
        <w:ind w:right="26"/>
        <w:rPr>
          <w:rFonts w:ascii="宋体" w:hAnsi="宋体"/>
          <w:sz w:val="24"/>
        </w:rPr>
      </w:pPr>
    </w:p>
    <w:p w14:paraId="5661D992" w14:textId="77777777" w:rsidR="007C736D" w:rsidRDefault="007C736D">
      <w:pPr>
        <w:spacing w:line="360" w:lineRule="auto"/>
        <w:ind w:right="26"/>
        <w:rPr>
          <w:rFonts w:ascii="宋体" w:hAnsi="宋体"/>
          <w:sz w:val="24"/>
        </w:rPr>
      </w:pPr>
    </w:p>
    <w:p w14:paraId="30661AA8" w14:textId="77777777" w:rsidR="007C736D" w:rsidRDefault="00662CFB">
      <w:pPr>
        <w:spacing w:line="360" w:lineRule="auto"/>
        <w:ind w:right="26"/>
        <w:rPr>
          <w:rFonts w:ascii="宋体" w:hAnsi="宋体"/>
          <w:sz w:val="24"/>
        </w:rPr>
      </w:pPr>
      <w:r>
        <w:rPr>
          <w:rFonts w:ascii="宋体" w:hAnsi="宋体" w:hint="eastAsia"/>
          <w:sz w:val="24"/>
        </w:rPr>
        <w:t>基金托管人：中国建设银行股份有限公司（公章或合同专用章）</w:t>
      </w:r>
    </w:p>
    <w:p w14:paraId="3912EA93" w14:textId="77777777" w:rsidR="007C736D" w:rsidRDefault="007C736D">
      <w:pPr>
        <w:spacing w:line="360" w:lineRule="auto"/>
        <w:ind w:right="26"/>
        <w:rPr>
          <w:rFonts w:ascii="宋体" w:hAnsi="宋体"/>
          <w:sz w:val="24"/>
        </w:rPr>
      </w:pPr>
    </w:p>
    <w:p w14:paraId="41A5B12C" w14:textId="77777777" w:rsidR="007C736D" w:rsidRDefault="007C736D">
      <w:pPr>
        <w:spacing w:line="360" w:lineRule="auto"/>
        <w:ind w:right="26"/>
        <w:rPr>
          <w:rFonts w:ascii="宋体" w:hAnsi="宋体"/>
          <w:sz w:val="24"/>
        </w:rPr>
      </w:pPr>
    </w:p>
    <w:p w14:paraId="442CA55B" w14:textId="77777777" w:rsidR="007C736D" w:rsidRDefault="007C736D">
      <w:pPr>
        <w:spacing w:line="360" w:lineRule="auto"/>
        <w:ind w:right="26"/>
        <w:rPr>
          <w:rFonts w:ascii="宋体" w:hAnsi="宋体"/>
          <w:sz w:val="24"/>
        </w:rPr>
      </w:pPr>
    </w:p>
    <w:p w14:paraId="18F76070" w14:textId="77777777" w:rsidR="007C736D" w:rsidRDefault="00662CFB">
      <w:pPr>
        <w:spacing w:line="360" w:lineRule="auto"/>
        <w:ind w:right="26"/>
        <w:rPr>
          <w:rFonts w:ascii="宋体" w:hAnsi="宋体"/>
          <w:sz w:val="24"/>
        </w:rPr>
      </w:pPr>
      <w:r>
        <w:rPr>
          <w:rFonts w:ascii="宋体" w:hAnsi="宋体" w:hint="eastAsia"/>
          <w:sz w:val="24"/>
        </w:rPr>
        <w:t>法定代表人或授权代表：</w:t>
      </w:r>
      <w:r>
        <w:rPr>
          <w:rFonts w:ascii="宋体" w:hAnsi="宋体" w:hint="eastAsia"/>
          <w:sz w:val="24"/>
        </w:rPr>
        <w:t xml:space="preserve">                   </w:t>
      </w:r>
      <w:r>
        <w:rPr>
          <w:rFonts w:ascii="宋体" w:hAnsi="宋体" w:hint="eastAsia"/>
          <w:sz w:val="24"/>
        </w:rPr>
        <w:t>（签字或</w:t>
      </w:r>
      <w:r>
        <w:rPr>
          <w:rFonts w:ascii="宋体" w:hAnsi="宋体"/>
          <w:sz w:val="24"/>
        </w:rPr>
        <w:t>盖</w:t>
      </w:r>
      <w:r>
        <w:rPr>
          <w:rFonts w:ascii="宋体" w:hAnsi="宋体" w:hint="eastAsia"/>
          <w:sz w:val="24"/>
        </w:rPr>
        <w:t>章）</w:t>
      </w:r>
    </w:p>
    <w:p w14:paraId="73044A65" w14:textId="77777777" w:rsidR="007C736D" w:rsidRDefault="007C736D">
      <w:pPr>
        <w:spacing w:line="360" w:lineRule="auto"/>
        <w:ind w:right="26"/>
        <w:rPr>
          <w:rFonts w:ascii="宋体" w:hAnsi="宋体"/>
          <w:sz w:val="24"/>
        </w:rPr>
      </w:pPr>
    </w:p>
    <w:p w14:paraId="2FBEA852" w14:textId="77777777" w:rsidR="007C736D" w:rsidRDefault="007C736D">
      <w:pPr>
        <w:spacing w:line="360" w:lineRule="auto"/>
        <w:ind w:right="26"/>
        <w:rPr>
          <w:rFonts w:ascii="宋体" w:hAnsi="宋体"/>
          <w:sz w:val="24"/>
        </w:rPr>
      </w:pPr>
    </w:p>
    <w:p w14:paraId="537B976F" w14:textId="77777777" w:rsidR="007C736D" w:rsidRDefault="007C736D">
      <w:pPr>
        <w:spacing w:line="360" w:lineRule="auto"/>
        <w:ind w:right="26"/>
        <w:rPr>
          <w:rFonts w:ascii="宋体" w:hAnsi="宋体"/>
          <w:sz w:val="24"/>
        </w:rPr>
      </w:pPr>
    </w:p>
    <w:p w14:paraId="2A43BA62" w14:textId="77777777" w:rsidR="007C736D" w:rsidRDefault="007C736D">
      <w:pPr>
        <w:spacing w:line="360" w:lineRule="auto"/>
        <w:ind w:right="26"/>
        <w:rPr>
          <w:rFonts w:ascii="宋体" w:hAnsi="宋体"/>
          <w:sz w:val="24"/>
        </w:rPr>
      </w:pPr>
    </w:p>
    <w:p w14:paraId="7FF8C1B0" w14:textId="77777777" w:rsidR="007C736D" w:rsidRDefault="007C736D">
      <w:pPr>
        <w:spacing w:line="360" w:lineRule="auto"/>
        <w:ind w:right="26"/>
        <w:rPr>
          <w:rFonts w:ascii="宋体" w:hAnsi="宋体"/>
          <w:sz w:val="24"/>
        </w:rPr>
      </w:pPr>
    </w:p>
    <w:p w14:paraId="38D9E898" w14:textId="77777777" w:rsidR="007C736D" w:rsidRDefault="00662CFB">
      <w:pPr>
        <w:spacing w:line="360" w:lineRule="auto"/>
        <w:ind w:right="26"/>
        <w:rPr>
          <w:rFonts w:ascii="宋体" w:eastAsia="宋体" w:hAnsi="宋体"/>
          <w:sz w:val="24"/>
          <w:lang w:bidi="en-US"/>
        </w:rPr>
      </w:pPr>
      <w:r>
        <w:rPr>
          <w:rFonts w:ascii="宋体" w:hAnsi="宋体" w:hint="eastAsia"/>
          <w:sz w:val="24"/>
        </w:rPr>
        <w:t>签订地点：</w:t>
      </w:r>
      <w:r>
        <w:rPr>
          <w:rFonts w:ascii="宋体" w:hAnsi="宋体" w:hint="eastAsia"/>
          <w:sz w:val="24"/>
        </w:rPr>
        <w:t xml:space="preserve"> </w:t>
      </w:r>
    </w:p>
    <w:p w14:paraId="60A152F7" w14:textId="6773EE35" w:rsidR="007C736D" w:rsidRDefault="00662CFB">
      <w:pPr>
        <w:spacing w:line="360" w:lineRule="auto"/>
        <w:ind w:right="26"/>
        <w:rPr>
          <w:rFonts w:eastAsia="宋体"/>
          <w:sz w:val="24"/>
          <w:lang w:bidi="en-US"/>
        </w:rPr>
      </w:pPr>
      <w:r>
        <w:rPr>
          <w:rFonts w:ascii="宋体" w:hAnsi="宋体" w:hint="eastAsia"/>
          <w:sz w:val="24"/>
        </w:rPr>
        <w:t>签</w:t>
      </w:r>
      <w:r>
        <w:rPr>
          <w:rFonts w:ascii="宋体" w:hAnsi="宋体"/>
          <w:sz w:val="24"/>
        </w:rPr>
        <w:t xml:space="preserve"> </w:t>
      </w:r>
      <w:r>
        <w:rPr>
          <w:rFonts w:ascii="宋体" w:hAnsi="宋体" w:hint="eastAsia"/>
          <w:sz w:val="24"/>
        </w:rPr>
        <w:t>订</w:t>
      </w:r>
      <w:r>
        <w:rPr>
          <w:rFonts w:ascii="宋体" w:hAnsi="宋体"/>
          <w:sz w:val="24"/>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sidR="00EA3410">
        <w:rPr>
          <w:rFonts w:ascii="宋体" w:hAnsi="宋体"/>
          <w:sz w:val="24"/>
        </w:rPr>
        <w:t xml:space="preserve"> </w:t>
      </w:r>
      <w:r>
        <w:rPr>
          <w:rFonts w:ascii="宋体" w:hAnsi="宋体"/>
          <w:sz w:val="24"/>
        </w:rPr>
        <w:t xml:space="preserve">  </w:t>
      </w:r>
      <w:r>
        <w:rPr>
          <w:rFonts w:ascii="宋体" w:hAnsi="宋体"/>
          <w:sz w:val="24"/>
        </w:rPr>
        <w:t>月</w:t>
      </w:r>
      <w:r>
        <w:rPr>
          <w:rFonts w:ascii="宋体" w:hAnsi="宋体"/>
          <w:sz w:val="24"/>
        </w:rPr>
        <w:t xml:space="preserve"> </w:t>
      </w:r>
      <w:r w:rsidR="00EA3410">
        <w:rPr>
          <w:rFonts w:ascii="宋体" w:hAnsi="宋体"/>
          <w:sz w:val="24"/>
        </w:rPr>
        <w:t xml:space="preserve"> </w:t>
      </w:r>
      <w:r>
        <w:rPr>
          <w:rFonts w:ascii="宋体" w:hAnsi="宋体"/>
          <w:sz w:val="24"/>
        </w:rPr>
        <w:t xml:space="preserve"> </w:t>
      </w:r>
      <w:r>
        <w:rPr>
          <w:rFonts w:ascii="宋体" w:hAnsi="宋体"/>
          <w:sz w:val="24"/>
        </w:rPr>
        <w:t>日</w:t>
      </w:r>
    </w:p>
    <w:p w14:paraId="03C70855" w14:textId="77777777" w:rsidR="007C736D" w:rsidRDefault="007C736D">
      <w:pPr>
        <w:spacing w:line="360" w:lineRule="auto"/>
        <w:ind w:firstLine="480"/>
        <w:rPr>
          <w:rFonts w:ascii="宋体" w:hAnsi="宋体"/>
          <w:sz w:val="24"/>
        </w:rPr>
      </w:pPr>
    </w:p>
    <w:bookmarkEnd w:id="0"/>
    <w:p w14:paraId="42AB647C" w14:textId="77777777" w:rsidR="007C736D" w:rsidRDefault="007C736D">
      <w:pPr>
        <w:widowControl/>
        <w:jc w:val="left"/>
        <w:rPr>
          <w:bCs/>
          <w:sz w:val="24"/>
          <w:szCs w:val="24"/>
        </w:rPr>
      </w:pPr>
    </w:p>
    <w:sectPr w:rsidR="007C736D">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8B6FF" w14:textId="77777777" w:rsidR="00662CFB" w:rsidRDefault="00662CFB">
      <w:r>
        <w:separator/>
      </w:r>
    </w:p>
  </w:endnote>
  <w:endnote w:type="continuationSeparator" w:id="0">
    <w:p w14:paraId="578AEF24" w14:textId="77777777" w:rsidR="00662CFB" w:rsidRDefault="0066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Luxi Sans">
    <w:altName w:val="Arial"/>
    <w:charset w:val="00"/>
    <w:family w:val="auto"/>
    <w:pitch w:val="default"/>
  </w:font>
  <w:font w:name="@仿宋_GB2312">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4008714"/>
    </w:sdtPr>
    <w:sdtEndPr/>
    <w:sdtContent>
      <w:p w14:paraId="4F500AF7" w14:textId="5D86FC0D" w:rsidR="007C736D" w:rsidRDefault="00662CFB">
        <w:pPr>
          <w:pStyle w:val="ad"/>
          <w:jc w:val="center"/>
        </w:pPr>
        <w:r>
          <w:fldChar w:fldCharType="begin"/>
        </w:r>
        <w:r>
          <w:instrText>PAGE   \* MERGEFORMAT</w:instrText>
        </w:r>
        <w:r>
          <w:fldChar w:fldCharType="separate"/>
        </w:r>
        <w:r w:rsidR="002C66FF" w:rsidRPr="002C66FF">
          <w:rPr>
            <w:noProof/>
            <w:lang w:val="zh-CN"/>
          </w:rPr>
          <w:t>32</w:t>
        </w:r>
        <w:r>
          <w:fldChar w:fldCharType="end"/>
        </w:r>
      </w:p>
    </w:sdtContent>
  </w:sdt>
  <w:p w14:paraId="6B18CCA0" w14:textId="77777777" w:rsidR="007C736D" w:rsidRDefault="007C736D">
    <w:pPr>
      <w:pStyle w:val="1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D8CC2" w14:textId="77777777" w:rsidR="007C736D" w:rsidRDefault="007C736D">
    <w:pPr>
      <w:pStyle w:val="15"/>
    </w:pPr>
  </w:p>
  <w:p w14:paraId="45073B65" w14:textId="77777777" w:rsidR="007C736D" w:rsidRDefault="007C736D">
    <w:pPr>
      <w:pStyle w:val="15"/>
    </w:pPr>
  </w:p>
  <w:p w14:paraId="15BB708B" w14:textId="77777777" w:rsidR="007C736D" w:rsidRDefault="007C736D">
    <w:pPr>
      <w:pStyle w:val="1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6CD33" w14:textId="77777777" w:rsidR="00662CFB" w:rsidRDefault="00662CFB">
      <w:r>
        <w:separator/>
      </w:r>
    </w:p>
  </w:footnote>
  <w:footnote w:type="continuationSeparator" w:id="0">
    <w:p w14:paraId="2A1F7E8E" w14:textId="77777777" w:rsidR="00662CFB" w:rsidRDefault="00662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E6391" w14:textId="77777777" w:rsidR="007C736D" w:rsidRDefault="00662CFB">
    <w:pPr>
      <w:pStyle w:val="16"/>
      <w:pBdr>
        <w:bottom w:val="single" w:sz="24" w:space="10" w:color="auto"/>
      </w:pBdr>
      <w:tabs>
        <w:tab w:val="right" w:pos="8280"/>
      </w:tabs>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3FC8B" w14:textId="77777777" w:rsidR="007C736D" w:rsidRDefault="00662CFB">
    <w:pPr>
      <w:pStyle w:val="16"/>
      <w:pBdr>
        <w:bottom w:val="single" w:sz="24" w:space="10" w:color="auto"/>
      </w:pBdr>
      <w:tabs>
        <w:tab w:val="right" w:pos="8280"/>
      </w:tabs>
      <w:jc w:val="right"/>
    </w:pPr>
    <w:r>
      <w:rPr>
        <w:rFonts w:hint="eastAsia"/>
      </w:rPr>
      <w:t>平安港股通科技精选混合型证券投资基金</w:t>
    </w:r>
    <w:r>
      <w:rPr>
        <w:rFonts w:hint="eastAsia"/>
      </w:rPr>
      <w:t>-</w:t>
    </w: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A523E"/>
    <w:multiLevelType w:val="multilevel"/>
    <w:tmpl w:val="3AEA523E"/>
    <w:lvl w:ilvl="0">
      <w:start w:val="1"/>
      <w:numFmt w:val="bullet"/>
      <w:pStyle w:val="Listbullet"/>
      <w:lvlText w:val=""/>
      <w:lvlJc w:val="left"/>
      <w:pPr>
        <w:tabs>
          <w:tab w:val="left" w:pos="360"/>
        </w:tabs>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FAC"/>
    <w:rsid w:val="00000115"/>
    <w:rsid w:val="00001C3A"/>
    <w:rsid w:val="0000770A"/>
    <w:rsid w:val="00010D4B"/>
    <w:rsid w:val="00011706"/>
    <w:rsid w:val="00013685"/>
    <w:rsid w:val="00017A43"/>
    <w:rsid w:val="00017A9D"/>
    <w:rsid w:val="00020658"/>
    <w:rsid w:val="000216DE"/>
    <w:rsid w:val="0002229F"/>
    <w:rsid w:val="0002690E"/>
    <w:rsid w:val="00027C53"/>
    <w:rsid w:val="0003791F"/>
    <w:rsid w:val="00040576"/>
    <w:rsid w:val="0004689E"/>
    <w:rsid w:val="00057D27"/>
    <w:rsid w:val="0006109C"/>
    <w:rsid w:val="0006141C"/>
    <w:rsid w:val="00062084"/>
    <w:rsid w:val="000628A7"/>
    <w:rsid w:val="00072AA5"/>
    <w:rsid w:val="00074240"/>
    <w:rsid w:val="000759ED"/>
    <w:rsid w:val="00082137"/>
    <w:rsid w:val="00082947"/>
    <w:rsid w:val="0008317D"/>
    <w:rsid w:val="00083233"/>
    <w:rsid w:val="00090DFA"/>
    <w:rsid w:val="0009267C"/>
    <w:rsid w:val="000929D7"/>
    <w:rsid w:val="00095CB6"/>
    <w:rsid w:val="000A2019"/>
    <w:rsid w:val="000A5CBE"/>
    <w:rsid w:val="000B2999"/>
    <w:rsid w:val="000C4501"/>
    <w:rsid w:val="000C5921"/>
    <w:rsid w:val="000C653D"/>
    <w:rsid w:val="000C7D36"/>
    <w:rsid w:val="000D02D7"/>
    <w:rsid w:val="000D3983"/>
    <w:rsid w:val="000D48F2"/>
    <w:rsid w:val="000D5BDE"/>
    <w:rsid w:val="000D7AC1"/>
    <w:rsid w:val="000E0D92"/>
    <w:rsid w:val="000E511A"/>
    <w:rsid w:val="000E67E7"/>
    <w:rsid w:val="000F6980"/>
    <w:rsid w:val="000F6D9C"/>
    <w:rsid w:val="001067AE"/>
    <w:rsid w:val="0010682F"/>
    <w:rsid w:val="00106AD6"/>
    <w:rsid w:val="0011131C"/>
    <w:rsid w:val="001117B8"/>
    <w:rsid w:val="0011573B"/>
    <w:rsid w:val="00117D1E"/>
    <w:rsid w:val="001264E3"/>
    <w:rsid w:val="00134E4A"/>
    <w:rsid w:val="001354C8"/>
    <w:rsid w:val="00136C76"/>
    <w:rsid w:val="00142EE5"/>
    <w:rsid w:val="00150447"/>
    <w:rsid w:val="00151875"/>
    <w:rsid w:val="001550A7"/>
    <w:rsid w:val="00156EFD"/>
    <w:rsid w:val="0015785E"/>
    <w:rsid w:val="00166851"/>
    <w:rsid w:val="00166F6A"/>
    <w:rsid w:val="0017019A"/>
    <w:rsid w:val="00171293"/>
    <w:rsid w:val="00173A08"/>
    <w:rsid w:val="00174C2F"/>
    <w:rsid w:val="00180AD0"/>
    <w:rsid w:val="0018697F"/>
    <w:rsid w:val="0019138F"/>
    <w:rsid w:val="00196A7A"/>
    <w:rsid w:val="00196E91"/>
    <w:rsid w:val="001A0058"/>
    <w:rsid w:val="001B2028"/>
    <w:rsid w:val="001B248F"/>
    <w:rsid w:val="001C1ABB"/>
    <w:rsid w:val="001D30A3"/>
    <w:rsid w:val="001E1970"/>
    <w:rsid w:val="001E20E0"/>
    <w:rsid w:val="001E29AA"/>
    <w:rsid w:val="001F3FA2"/>
    <w:rsid w:val="001F4B6F"/>
    <w:rsid w:val="001F6416"/>
    <w:rsid w:val="0020384C"/>
    <w:rsid w:val="00205011"/>
    <w:rsid w:val="002113C6"/>
    <w:rsid w:val="00212D44"/>
    <w:rsid w:val="002132F4"/>
    <w:rsid w:val="00214322"/>
    <w:rsid w:val="002203E0"/>
    <w:rsid w:val="00220E9D"/>
    <w:rsid w:val="0022194D"/>
    <w:rsid w:val="00223FA7"/>
    <w:rsid w:val="00225200"/>
    <w:rsid w:val="0023532F"/>
    <w:rsid w:val="00240169"/>
    <w:rsid w:val="00240849"/>
    <w:rsid w:val="002409CB"/>
    <w:rsid w:val="0025108A"/>
    <w:rsid w:val="00251899"/>
    <w:rsid w:val="002539E6"/>
    <w:rsid w:val="00255096"/>
    <w:rsid w:val="002571F6"/>
    <w:rsid w:val="0026060F"/>
    <w:rsid w:val="002621C3"/>
    <w:rsid w:val="00276E9C"/>
    <w:rsid w:val="002827C3"/>
    <w:rsid w:val="002876DA"/>
    <w:rsid w:val="00291E67"/>
    <w:rsid w:val="00294975"/>
    <w:rsid w:val="002A45FC"/>
    <w:rsid w:val="002B10DE"/>
    <w:rsid w:val="002B189C"/>
    <w:rsid w:val="002B74F1"/>
    <w:rsid w:val="002B7FB5"/>
    <w:rsid w:val="002C5116"/>
    <w:rsid w:val="002C66FF"/>
    <w:rsid w:val="002D1A50"/>
    <w:rsid w:val="002D3EF4"/>
    <w:rsid w:val="002D4FF6"/>
    <w:rsid w:val="002E5441"/>
    <w:rsid w:val="002E6D96"/>
    <w:rsid w:val="002F185C"/>
    <w:rsid w:val="002F18CB"/>
    <w:rsid w:val="003031AA"/>
    <w:rsid w:val="00303AC7"/>
    <w:rsid w:val="00305120"/>
    <w:rsid w:val="0031025E"/>
    <w:rsid w:val="00312C16"/>
    <w:rsid w:val="00314A1B"/>
    <w:rsid w:val="0032206C"/>
    <w:rsid w:val="00323263"/>
    <w:rsid w:val="003249E6"/>
    <w:rsid w:val="0033076E"/>
    <w:rsid w:val="00330904"/>
    <w:rsid w:val="0033284D"/>
    <w:rsid w:val="00335DE2"/>
    <w:rsid w:val="00342D4D"/>
    <w:rsid w:val="00347783"/>
    <w:rsid w:val="00352693"/>
    <w:rsid w:val="003570B5"/>
    <w:rsid w:val="00365016"/>
    <w:rsid w:val="00370430"/>
    <w:rsid w:val="003714AC"/>
    <w:rsid w:val="00371798"/>
    <w:rsid w:val="00375ED3"/>
    <w:rsid w:val="003847F6"/>
    <w:rsid w:val="003878B1"/>
    <w:rsid w:val="00390B1F"/>
    <w:rsid w:val="003A1F10"/>
    <w:rsid w:val="003A2E5F"/>
    <w:rsid w:val="003A4C6E"/>
    <w:rsid w:val="003A7397"/>
    <w:rsid w:val="003B635D"/>
    <w:rsid w:val="003C25B8"/>
    <w:rsid w:val="003C3601"/>
    <w:rsid w:val="003C4216"/>
    <w:rsid w:val="003D2D3F"/>
    <w:rsid w:val="003D3F4D"/>
    <w:rsid w:val="003D5E41"/>
    <w:rsid w:val="003D6BAD"/>
    <w:rsid w:val="003E2ECF"/>
    <w:rsid w:val="003E3479"/>
    <w:rsid w:val="003E6DEA"/>
    <w:rsid w:val="003F096A"/>
    <w:rsid w:val="003F2BFA"/>
    <w:rsid w:val="00406479"/>
    <w:rsid w:val="0040770E"/>
    <w:rsid w:val="00407A44"/>
    <w:rsid w:val="004216C2"/>
    <w:rsid w:val="004223C0"/>
    <w:rsid w:val="00424712"/>
    <w:rsid w:val="00432A9D"/>
    <w:rsid w:val="00433C94"/>
    <w:rsid w:val="0043455C"/>
    <w:rsid w:val="004413CF"/>
    <w:rsid w:val="0044251C"/>
    <w:rsid w:val="00443EAB"/>
    <w:rsid w:val="0044654A"/>
    <w:rsid w:val="00446CBF"/>
    <w:rsid w:val="00451713"/>
    <w:rsid w:val="004539AF"/>
    <w:rsid w:val="00453CD6"/>
    <w:rsid w:val="004616F0"/>
    <w:rsid w:val="00463B6D"/>
    <w:rsid w:val="00466298"/>
    <w:rsid w:val="0046691B"/>
    <w:rsid w:val="00466B8D"/>
    <w:rsid w:val="00467833"/>
    <w:rsid w:val="0047178D"/>
    <w:rsid w:val="00472B53"/>
    <w:rsid w:val="0047353B"/>
    <w:rsid w:val="004764C8"/>
    <w:rsid w:val="00480317"/>
    <w:rsid w:val="00482E4D"/>
    <w:rsid w:val="004830D3"/>
    <w:rsid w:val="00485161"/>
    <w:rsid w:val="0048689B"/>
    <w:rsid w:val="0049598C"/>
    <w:rsid w:val="004A1B41"/>
    <w:rsid w:val="004A1D20"/>
    <w:rsid w:val="004B0554"/>
    <w:rsid w:val="004B4E8C"/>
    <w:rsid w:val="004C07D3"/>
    <w:rsid w:val="004C3EAB"/>
    <w:rsid w:val="004C53A4"/>
    <w:rsid w:val="004C6060"/>
    <w:rsid w:val="004D12E0"/>
    <w:rsid w:val="004D1773"/>
    <w:rsid w:val="004D18DD"/>
    <w:rsid w:val="004D4B51"/>
    <w:rsid w:val="004D5E4C"/>
    <w:rsid w:val="004D6EBE"/>
    <w:rsid w:val="004E0AB8"/>
    <w:rsid w:val="004E29FF"/>
    <w:rsid w:val="004E518D"/>
    <w:rsid w:val="00500607"/>
    <w:rsid w:val="00505EC7"/>
    <w:rsid w:val="00506227"/>
    <w:rsid w:val="0050636E"/>
    <w:rsid w:val="00511964"/>
    <w:rsid w:val="0051243B"/>
    <w:rsid w:val="00512F18"/>
    <w:rsid w:val="00515B1E"/>
    <w:rsid w:val="00523389"/>
    <w:rsid w:val="0053677B"/>
    <w:rsid w:val="00537FED"/>
    <w:rsid w:val="005414F3"/>
    <w:rsid w:val="005429AC"/>
    <w:rsid w:val="00545E42"/>
    <w:rsid w:val="00555200"/>
    <w:rsid w:val="005564F1"/>
    <w:rsid w:val="00556564"/>
    <w:rsid w:val="00560582"/>
    <w:rsid w:val="00561F3B"/>
    <w:rsid w:val="00565A9C"/>
    <w:rsid w:val="00570CCE"/>
    <w:rsid w:val="0057703B"/>
    <w:rsid w:val="00582D4C"/>
    <w:rsid w:val="00587495"/>
    <w:rsid w:val="00591C84"/>
    <w:rsid w:val="005A0DB2"/>
    <w:rsid w:val="005A26D9"/>
    <w:rsid w:val="005A2763"/>
    <w:rsid w:val="005A34DE"/>
    <w:rsid w:val="005A3AF8"/>
    <w:rsid w:val="005B332F"/>
    <w:rsid w:val="005C38A1"/>
    <w:rsid w:val="005C6C45"/>
    <w:rsid w:val="005D44D8"/>
    <w:rsid w:val="005D6DD3"/>
    <w:rsid w:val="005E14F0"/>
    <w:rsid w:val="005E18EF"/>
    <w:rsid w:val="005E4640"/>
    <w:rsid w:val="005E5A60"/>
    <w:rsid w:val="005F0223"/>
    <w:rsid w:val="005F189F"/>
    <w:rsid w:val="005F28FF"/>
    <w:rsid w:val="005F3810"/>
    <w:rsid w:val="005F5DCD"/>
    <w:rsid w:val="00602D54"/>
    <w:rsid w:val="00604DEB"/>
    <w:rsid w:val="0061220C"/>
    <w:rsid w:val="00616F0D"/>
    <w:rsid w:val="00617023"/>
    <w:rsid w:val="00631D29"/>
    <w:rsid w:val="006357BB"/>
    <w:rsid w:val="006400EB"/>
    <w:rsid w:val="006431E7"/>
    <w:rsid w:val="00651148"/>
    <w:rsid w:val="00651B41"/>
    <w:rsid w:val="0065315C"/>
    <w:rsid w:val="006554D4"/>
    <w:rsid w:val="00656073"/>
    <w:rsid w:val="00656508"/>
    <w:rsid w:val="00662CFB"/>
    <w:rsid w:val="00662E55"/>
    <w:rsid w:val="006657F2"/>
    <w:rsid w:val="00665F21"/>
    <w:rsid w:val="00666B8B"/>
    <w:rsid w:val="00674618"/>
    <w:rsid w:val="00683F4E"/>
    <w:rsid w:val="006877BE"/>
    <w:rsid w:val="006952F8"/>
    <w:rsid w:val="00696CBB"/>
    <w:rsid w:val="006A1179"/>
    <w:rsid w:val="006A1273"/>
    <w:rsid w:val="006A427B"/>
    <w:rsid w:val="006A5DB4"/>
    <w:rsid w:val="006A5E10"/>
    <w:rsid w:val="006C06A3"/>
    <w:rsid w:val="006D12D9"/>
    <w:rsid w:val="006D1859"/>
    <w:rsid w:val="006D6600"/>
    <w:rsid w:val="006D6D33"/>
    <w:rsid w:val="006E12B8"/>
    <w:rsid w:val="006E436D"/>
    <w:rsid w:val="006F3168"/>
    <w:rsid w:val="006F5FFA"/>
    <w:rsid w:val="0071306C"/>
    <w:rsid w:val="007135DC"/>
    <w:rsid w:val="00713BA6"/>
    <w:rsid w:val="0072023A"/>
    <w:rsid w:val="00733AC0"/>
    <w:rsid w:val="00735733"/>
    <w:rsid w:val="0073710A"/>
    <w:rsid w:val="00737FE6"/>
    <w:rsid w:val="00744724"/>
    <w:rsid w:val="00744E50"/>
    <w:rsid w:val="0074776B"/>
    <w:rsid w:val="007549BE"/>
    <w:rsid w:val="0075631F"/>
    <w:rsid w:val="00757933"/>
    <w:rsid w:val="00761544"/>
    <w:rsid w:val="007641F1"/>
    <w:rsid w:val="007642C2"/>
    <w:rsid w:val="00764727"/>
    <w:rsid w:val="00765E3A"/>
    <w:rsid w:val="00766C52"/>
    <w:rsid w:val="00772E12"/>
    <w:rsid w:val="00773FC1"/>
    <w:rsid w:val="00781420"/>
    <w:rsid w:val="00785C6D"/>
    <w:rsid w:val="00786D67"/>
    <w:rsid w:val="00787D53"/>
    <w:rsid w:val="00791F4E"/>
    <w:rsid w:val="00793EF1"/>
    <w:rsid w:val="00794253"/>
    <w:rsid w:val="007A01F3"/>
    <w:rsid w:val="007A374A"/>
    <w:rsid w:val="007A3FC5"/>
    <w:rsid w:val="007A6495"/>
    <w:rsid w:val="007B117C"/>
    <w:rsid w:val="007B488C"/>
    <w:rsid w:val="007B6518"/>
    <w:rsid w:val="007C46B3"/>
    <w:rsid w:val="007C5B34"/>
    <w:rsid w:val="007C736D"/>
    <w:rsid w:val="007D0875"/>
    <w:rsid w:val="007D0C0F"/>
    <w:rsid w:val="007D2D78"/>
    <w:rsid w:val="007D6661"/>
    <w:rsid w:val="007D781E"/>
    <w:rsid w:val="007E1C6C"/>
    <w:rsid w:val="007E2FEE"/>
    <w:rsid w:val="007E4C12"/>
    <w:rsid w:val="007E6924"/>
    <w:rsid w:val="007F03D4"/>
    <w:rsid w:val="007F2F0C"/>
    <w:rsid w:val="007F6391"/>
    <w:rsid w:val="00800630"/>
    <w:rsid w:val="00800A53"/>
    <w:rsid w:val="00802AE7"/>
    <w:rsid w:val="008076E2"/>
    <w:rsid w:val="0081178D"/>
    <w:rsid w:val="008176AE"/>
    <w:rsid w:val="00822C6A"/>
    <w:rsid w:val="008240C6"/>
    <w:rsid w:val="0084237C"/>
    <w:rsid w:val="00843A60"/>
    <w:rsid w:val="00845EB2"/>
    <w:rsid w:val="0084705F"/>
    <w:rsid w:val="00851693"/>
    <w:rsid w:val="00852E86"/>
    <w:rsid w:val="0085312B"/>
    <w:rsid w:val="0085470A"/>
    <w:rsid w:val="008553B6"/>
    <w:rsid w:val="00856631"/>
    <w:rsid w:val="00860329"/>
    <w:rsid w:val="00861A60"/>
    <w:rsid w:val="008655CB"/>
    <w:rsid w:val="008662B6"/>
    <w:rsid w:val="00871DFB"/>
    <w:rsid w:val="008774F7"/>
    <w:rsid w:val="00881058"/>
    <w:rsid w:val="0088277B"/>
    <w:rsid w:val="00886443"/>
    <w:rsid w:val="00887921"/>
    <w:rsid w:val="0089314A"/>
    <w:rsid w:val="008958AA"/>
    <w:rsid w:val="008961E5"/>
    <w:rsid w:val="008A21CB"/>
    <w:rsid w:val="008A7864"/>
    <w:rsid w:val="008A7B47"/>
    <w:rsid w:val="008B2F93"/>
    <w:rsid w:val="008B3ABF"/>
    <w:rsid w:val="008B750E"/>
    <w:rsid w:val="008C79B3"/>
    <w:rsid w:val="008C79CB"/>
    <w:rsid w:val="008D0DBC"/>
    <w:rsid w:val="008D16CC"/>
    <w:rsid w:val="008D3DB6"/>
    <w:rsid w:val="008D7706"/>
    <w:rsid w:val="008D7EBE"/>
    <w:rsid w:val="008E318D"/>
    <w:rsid w:val="008E7573"/>
    <w:rsid w:val="008E7E78"/>
    <w:rsid w:val="008F2236"/>
    <w:rsid w:val="008F6BED"/>
    <w:rsid w:val="009001CB"/>
    <w:rsid w:val="009025E1"/>
    <w:rsid w:val="0090260C"/>
    <w:rsid w:val="00902D6A"/>
    <w:rsid w:val="0090345E"/>
    <w:rsid w:val="00903588"/>
    <w:rsid w:val="00904470"/>
    <w:rsid w:val="009046FF"/>
    <w:rsid w:val="00904700"/>
    <w:rsid w:val="00906DC8"/>
    <w:rsid w:val="00907F5B"/>
    <w:rsid w:val="0091118F"/>
    <w:rsid w:val="00912A5B"/>
    <w:rsid w:val="0091466B"/>
    <w:rsid w:val="00923B57"/>
    <w:rsid w:val="009255A0"/>
    <w:rsid w:val="009312E1"/>
    <w:rsid w:val="00932A61"/>
    <w:rsid w:val="00935CA2"/>
    <w:rsid w:val="00937395"/>
    <w:rsid w:val="00941973"/>
    <w:rsid w:val="00942D07"/>
    <w:rsid w:val="00947DFA"/>
    <w:rsid w:val="009504B3"/>
    <w:rsid w:val="009508CE"/>
    <w:rsid w:val="00957418"/>
    <w:rsid w:val="009669B0"/>
    <w:rsid w:val="0096702F"/>
    <w:rsid w:val="00993F2F"/>
    <w:rsid w:val="0099517D"/>
    <w:rsid w:val="009A1EF8"/>
    <w:rsid w:val="009B591E"/>
    <w:rsid w:val="009B5DE0"/>
    <w:rsid w:val="009C45B5"/>
    <w:rsid w:val="009C754B"/>
    <w:rsid w:val="009D1557"/>
    <w:rsid w:val="009D7684"/>
    <w:rsid w:val="009E7236"/>
    <w:rsid w:val="009E723C"/>
    <w:rsid w:val="009F3407"/>
    <w:rsid w:val="009F3C33"/>
    <w:rsid w:val="009F54FF"/>
    <w:rsid w:val="009F5FAC"/>
    <w:rsid w:val="00A00357"/>
    <w:rsid w:val="00A06DB1"/>
    <w:rsid w:val="00A07C6E"/>
    <w:rsid w:val="00A14F1C"/>
    <w:rsid w:val="00A17B2E"/>
    <w:rsid w:val="00A206B2"/>
    <w:rsid w:val="00A22D83"/>
    <w:rsid w:val="00A24561"/>
    <w:rsid w:val="00A25D3E"/>
    <w:rsid w:val="00A26EAD"/>
    <w:rsid w:val="00A31587"/>
    <w:rsid w:val="00A32985"/>
    <w:rsid w:val="00A371F2"/>
    <w:rsid w:val="00A4390D"/>
    <w:rsid w:val="00A445A5"/>
    <w:rsid w:val="00A450E9"/>
    <w:rsid w:val="00A5082C"/>
    <w:rsid w:val="00A50AEA"/>
    <w:rsid w:val="00A54F58"/>
    <w:rsid w:val="00A5648C"/>
    <w:rsid w:val="00A56BC6"/>
    <w:rsid w:val="00A5777B"/>
    <w:rsid w:val="00A65D1B"/>
    <w:rsid w:val="00A67371"/>
    <w:rsid w:val="00A71570"/>
    <w:rsid w:val="00A718ED"/>
    <w:rsid w:val="00A71963"/>
    <w:rsid w:val="00A73183"/>
    <w:rsid w:val="00A76722"/>
    <w:rsid w:val="00A806D0"/>
    <w:rsid w:val="00A80CC5"/>
    <w:rsid w:val="00A81D36"/>
    <w:rsid w:val="00A85BF4"/>
    <w:rsid w:val="00A920EF"/>
    <w:rsid w:val="00A9679C"/>
    <w:rsid w:val="00AA640A"/>
    <w:rsid w:val="00AB210B"/>
    <w:rsid w:val="00AB2636"/>
    <w:rsid w:val="00AB7A3F"/>
    <w:rsid w:val="00AD50B2"/>
    <w:rsid w:val="00AE40CE"/>
    <w:rsid w:val="00AE5531"/>
    <w:rsid w:val="00AE7A45"/>
    <w:rsid w:val="00AF3FD9"/>
    <w:rsid w:val="00AF6B25"/>
    <w:rsid w:val="00AF6C4A"/>
    <w:rsid w:val="00B01F10"/>
    <w:rsid w:val="00B02304"/>
    <w:rsid w:val="00B03459"/>
    <w:rsid w:val="00B10CB3"/>
    <w:rsid w:val="00B12FE7"/>
    <w:rsid w:val="00B13093"/>
    <w:rsid w:val="00B14A27"/>
    <w:rsid w:val="00B23FC3"/>
    <w:rsid w:val="00B24392"/>
    <w:rsid w:val="00B25F13"/>
    <w:rsid w:val="00B266EC"/>
    <w:rsid w:val="00B34E2A"/>
    <w:rsid w:val="00B411DB"/>
    <w:rsid w:val="00B416B4"/>
    <w:rsid w:val="00B41801"/>
    <w:rsid w:val="00B41CE9"/>
    <w:rsid w:val="00B45510"/>
    <w:rsid w:val="00B5106C"/>
    <w:rsid w:val="00B5581F"/>
    <w:rsid w:val="00B56A58"/>
    <w:rsid w:val="00B57942"/>
    <w:rsid w:val="00B62666"/>
    <w:rsid w:val="00B70760"/>
    <w:rsid w:val="00B74C95"/>
    <w:rsid w:val="00B77674"/>
    <w:rsid w:val="00B8744C"/>
    <w:rsid w:val="00B877A9"/>
    <w:rsid w:val="00B9328B"/>
    <w:rsid w:val="00B961CB"/>
    <w:rsid w:val="00BA18B9"/>
    <w:rsid w:val="00BA215F"/>
    <w:rsid w:val="00BA3294"/>
    <w:rsid w:val="00BA6C53"/>
    <w:rsid w:val="00BB4D4D"/>
    <w:rsid w:val="00BB7267"/>
    <w:rsid w:val="00BB776D"/>
    <w:rsid w:val="00BC2B2F"/>
    <w:rsid w:val="00BC30CE"/>
    <w:rsid w:val="00BC33AF"/>
    <w:rsid w:val="00BC3B63"/>
    <w:rsid w:val="00BC4729"/>
    <w:rsid w:val="00BD2D09"/>
    <w:rsid w:val="00BE0663"/>
    <w:rsid w:val="00BE2B48"/>
    <w:rsid w:val="00BE38D0"/>
    <w:rsid w:val="00BE77B0"/>
    <w:rsid w:val="00BF4047"/>
    <w:rsid w:val="00BF5248"/>
    <w:rsid w:val="00BF5528"/>
    <w:rsid w:val="00C0187A"/>
    <w:rsid w:val="00C04FF1"/>
    <w:rsid w:val="00C05171"/>
    <w:rsid w:val="00C107DD"/>
    <w:rsid w:val="00C12B32"/>
    <w:rsid w:val="00C20218"/>
    <w:rsid w:val="00C22436"/>
    <w:rsid w:val="00C27EA6"/>
    <w:rsid w:val="00C307B4"/>
    <w:rsid w:val="00C3305F"/>
    <w:rsid w:val="00C40EC5"/>
    <w:rsid w:val="00C413CF"/>
    <w:rsid w:val="00C437E1"/>
    <w:rsid w:val="00C458E3"/>
    <w:rsid w:val="00C61094"/>
    <w:rsid w:val="00C62547"/>
    <w:rsid w:val="00C655AB"/>
    <w:rsid w:val="00C67DE7"/>
    <w:rsid w:val="00C70AA2"/>
    <w:rsid w:val="00C74D75"/>
    <w:rsid w:val="00C813E5"/>
    <w:rsid w:val="00C813F7"/>
    <w:rsid w:val="00C85EFA"/>
    <w:rsid w:val="00C96B3E"/>
    <w:rsid w:val="00CA480E"/>
    <w:rsid w:val="00CA4FB4"/>
    <w:rsid w:val="00CB13B0"/>
    <w:rsid w:val="00CB3492"/>
    <w:rsid w:val="00CB3CA7"/>
    <w:rsid w:val="00CB3EB4"/>
    <w:rsid w:val="00CB6487"/>
    <w:rsid w:val="00CB7E9E"/>
    <w:rsid w:val="00CC4D3B"/>
    <w:rsid w:val="00CC7E3A"/>
    <w:rsid w:val="00CD5D40"/>
    <w:rsid w:val="00CE0129"/>
    <w:rsid w:val="00CE0A5F"/>
    <w:rsid w:val="00CE3571"/>
    <w:rsid w:val="00CE7C90"/>
    <w:rsid w:val="00CF519B"/>
    <w:rsid w:val="00D015DC"/>
    <w:rsid w:val="00D033D3"/>
    <w:rsid w:val="00D079E9"/>
    <w:rsid w:val="00D07F5B"/>
    <w:rsid w:val="00D15255"/>
    <w:rsid w:val="00D21F04"/>
    <w:rsid w:val="00D21F23"/>
    <w:rsid w:val="00D2267E"/>
    <w:rsid w:val="00D2300E"/>
    <w:rsid w:val="00D32BF5"/>
    <w:rsid w:val="00D3301F"/>
    <w:rsid w:val="00D41AD0"/>
    <w:rsid w:val="00D4593D"/>
    <w:rsid w:val="00D47243"/>
    <w:rsid w:val="00D47A75"/>
    <w:rsid w:val="00D54776"/>
    <w:rsid w:val="00D55502"/>
    <w:rsid w:val="00D55983"/>
    <w:rsid w:val="00D55CA4"/>
    <w:rsid w:val="00D55E65"/>
    <w:rsid w:val="00D60245"/>
    <w:rsid w:val="00D631DE"/>
    <w:rsid w:val="00D6356D"/>
    <w:rsid w:val="00D64962"/>
    <w:rsid w:val="00D67A60"/>
    <w:rsid w:val="00D721BD"/>
    <w:rsid w:val="00D7254D"/>
    <w:rsid w:val="00D733D1"/>
    <w:rsid w:val="00D75C91"/>
    <w:rsid w:val="00D75DE7"/>
    <w:rsid w:val="00D81E4B"/>
    <w:rsid w:val="00D81EB6"/>
    <w:rsid w:val="00D83548"/>
    <w:rsid w:val="00D8492D"/>
    <w:rsid w:val="00D853E4"/>
    <w:rsid w:val="00D85FC9"/>
    <w:rsid w:val="00D86CC1"/>
    <w:rsid w:val="00D92BCE"/>
    <w:rsid w:val="00D9579F"/>
    <w:rsid w:val="00DA3E1F"/>
    <w:rsid w:val="00DA3FE6"/>
    <w:rsid w:val="00DA57AD"/>
    <w:rsid w:val="00DA7D45"/>
    <w:rsid w:val="00DB090B"/>
    <w:rsid w:val="00DB5A98"/>
    <w:rsid w:val="00DC0BCE"/>
    <w:rsid w:val="00DC1730"/>
    <w:rsid w:val="00DC3C87"/>
    <w:rsid w:val="00DC4286"/>
    <w:rsid w:val="00DC580F"/>
    <w:rsid w:val="00DC6E70"/>
    <w:rsid w:val="00DD1D55"/>
    <w:rsid w:val="00DD271C"/>
    <w:rsid w:val="00DD30C6"/>
    <w:rsid w:val="00DD40AA"/>
    <w:rsid w:val="00DD44D8"/>
    <w:rsid w:val="00DD6B7F"/>
    <w:rsid w:val="00DD70F3"/>
    <w:rsid w:val="00DE013B"/>
    <w:rsid w:val="00DE1A39"/>
    <w:rsid w:val="00DE209C"/>
    <w:rsid w:val="00DE3444"/>
    <w:rsid w:val="00DF69C6"/>
    <w:rsid w:val="00E00223"/>
    <w:rsid w:val="00E0579D"/>
    <w:rsid w:val="00E21F91"/>
    <w:rsid w:val="00E34E92"/>
    <w:rsid w:val="00E35BAC"/>
    <w:rsid w:val="00E36263"/>
    <w:rsid w:val="00E37306"/>
    <w:rsid w:val="00E400DC"/>
    <w:rsid w:val="00E40BE0"/>
    <w:rsid w:val="00E521E5"/>
    <w:rsid w:val="00E531D9"/>
    <w:rsid w:val="00E5436D"/>
    <w:rsid w:val="00E5590C"/>
    <w:rsid w:val="00E55AD6"/>
    <w:rsid w:val="00E55E98"/>
    <w:rsid w:val="00E575A8"/>
    <w:rsid w:val="00E6357C"/>
    <w:rsid w:val="00E703AC"/>
    <w:rsid w:val="00E75F34"/>
    <w:rsid w:val="00E76120"/>
    <w:rsid w:val="00E81301"/>
    <w:rsid w:val="00E820D9"/>
    <w:rsid w:val="00E872B3"/>
    <w:rsid w:val="00E9444C"/>
    <w:rsid w:val="00E97F1B"/>
    <w:rsid w:val="00EA3410"/>
    <w:rsid w:val="00EA6143"/>
    <w:rsid w:val="00EB1A02"/>
    <w:rsid w:val="00EB3EED"/>
    <w:rsid w:val="00EB7263"/>
    <w:rsid w:val="00EC12E8"/>
    <w:rsid w:val="00EC2C65"/>
    <w:rsid w:val="00EC364E"/>
    <w:rsid w:val="00EC561F"/>
    <w:rsid w:val="00ED00C2"/>
    <w:rsid w:val="00ED39D5"/>
    <w:rsid w:val="00ED5AE8"/>
    <w:rsid w:val="00EE0342"/>
    <w:rsid w:val="00EE20C8"/>
    <w:rsid w:val="00EE2887"/>
    <w:rsid w:val="00EE71CA"/>
    <w:rsid w:val="00EE790B"/>
    <w:rsid w:val="00EF435A"/>
    <w:rsid w:val="00EF602F"/>
    <w:rsid w:val="00F0145B"/>
    <w:rsid w:val="00F06094"/>
    <w:rsid w:val="00F10290"/>
    <w:rsid w:val="00F15203"/>
    <w:rsid w:val="00F16360"/>
    <w:rsid w:val="00F249FA"/>
    <w:rsid w:val="00F24A49"/>
    <w:rsid w:val="00F3020C"/>
    <w:rsid w:val="00F333A3"/>
    <w:rsid w:val="00F3434D"/>
    <w:rsid w:val="00F367E5"/>
    <w:rsid w:val="00F4160F"/>
    <w:rsid w:val="00F41D8F"/>
    <w:rsid w:val="00F43790"/>
    <w:rsid w:val="00F4516C"/>
    <w:rsid w:val="00F45AD1"/>
    <w:rsid w:val="00F473DA"/>
    <w:rsid w:val="00F509E7"/>
    <w:rsid w:val="00F521CF"/>
    <w:rsid w:val="00F52380"/>
    <w:rsid w:val="00F56621"/>
    <w:rsid w:val="00F60A67"/>
    <w:rsid w:val="00F60FAC"/>
    <w:rsid w:val="00F6309B"/>
    <w:rsid w:val="00F63896"/>
    <w:rsid w:val="00F72020"/>
    <w:rsid w:val="00F7419A"/>
    <w:rsid w:val="00F767EE"/>
    <w:rsid w:val="00F76C25"/>
    <w:rsid w:val="00F83AAD"/>
    <w:rsid w:val="00F84263"/>
    <w:rsid w:val="00F85EF0"/>
    <w:rsid w:val="00F90FC0"/>
    <w:rsid w:val="00F96896"/>
    <w:rsid w:val="00F96F80"/>
    <w:rsid w:val="00FA11B8"/>
    <w:rsid w:val="00FA1B88"/>
    <w:rsid w:val="00FA4DB0"/>
    <w:rsid w:val="00FA690F"/>
    <w:rsid w:val="00FB1333"/>
    <w:rsid w:val="00FB5DA9"/>
    <w:rsid w:val="00FC0958"/>
    <w:rsid w:val="00FC23A7"/>
    <w:rsid w:val="00FC5E60"/>
    <w:rsid w:val="00FD5C47"/>
    <w:rsid w:val="00FD5DB0"/>
    <w:rsid w:val="00FD7690"/>
    <w:rsid w:val="00FE0BD1"/>
    <w:rsid w:val="00FE42C6"/>
    <w:rsid w:val="00FE53DF"/>
    <w:rsid w:val="00FE717A"/>
    <w:rsid w:val="00FE78F0"/>
    <w:rsid w:val="00FF005E"/>
    <w:rsid w:val="00FF268C"/>
    <w:rsid w:val="00FF34E3"/>
    <w:rsid w:val="029C0131"/>
    <w:rsid w:val="0F0476BE"/>
    <w:rsid w:val="217822D4"/>
    <w:rsid w:val="37ED6404"/>
    <w:rsid w:val="3B4529D9"/>
    <w:rsid w:val="3C2D1A1B"/>
    <w:rsid w:val="6D310082"/>
    <w:rsid w:val="6ECC4091"/>
    <w:rsid w:val="7A8750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D63A4"/>
  <w15:docId w15:val="{E58FF156-5105-48B0-AC23-85CB4EDB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unhideWhenUsed="1" w:qFormat="1"/>
    <w:lsdException w:name="toc 3" w:uiPriority="0"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2"/>
    </w:rPr>
  </w:style>
  <w:style w:type="paragraph" w:styleId="1">
    <w:name w:val="heading 1"/>
    <w:basedOn w:val="a"/>
    <w:next w:val="a"/>
    <w:link w:val="10"/>
    <w:qFormat/>
    <w:pPr>
      <w:keepNext/>
      <w:keepLines/>
      <w:widowControl/>
      <w:pBdr>
        <w:top w:val="none" w:sz="0" w:space="0" w:color="000000"/>
        <w:left w:val="none" w:sz="0" w:space="0" w:color="000000"/>
        <w:bottom w:val="none" w:sz="0" w:space="0" w:color="000000"/>
        <w:right w:val="none" w:sz="0" w:space="0" w:color="000000"/>
        <w:between w:val="none" w:sz="0" w:space="0" w:color="000000"/>
      </w:pBdr>
      <w:spacing w:before="120" w:after="120" w:line="360" w:lineRule="auto"/>
      <w:jc w:val="left"/>
      <w:outlineLvl w:val="0"/>
    </w:pPr>
    <w:rPr>
      <w:rFonts w:ascii="宋体" w:eastAsia="宋体"/>
      <w:b/>
      <w:color w:val="000000"/>
      <w:sz w:val="24"/>
      <w:lang w:eastAsia="en-US" w:bidi="en-US"/>
    </w:rPr>
  </w:style>
  <w:style w:type="paragraph" w:styleId="2">
    <w:name w:val="heading 2"/>
    <w:basedOn w:val="a"/>
    <w:next w:val="a"/>
    <w:link w:val="20"/>
    <w:qFormat/>
    <w:pPr>
      <w:keepNext/>
      <w:keepLines/>
      <w:widowControl/>
      <w:pBdr>
        <w:top w:val="none" w:sz="0" w:space="0" w:color="000000"/>
        <w:left w:val="none" w:sz="0" w:space="0" w:color="000000"/>
        <w:bottom w:val="none" w:sz="0" w:space="0" w:color="000000"/>
        <w:right w:val="none" w:sz="0" w:space="0" w:color="000000"/>
        <w:between w:val="none" w:sz="0" w:space="0" w:color="000000"/>
      </w:pBdr>
      <w:spacing w:before="260" w:after="260" w:line="413" w:lineRule="auto"/>
      <w:jc w:val="left"/>
      <w:outlineLvl w:val="1"/>
    </w:pPr>
    <w:rPr>
      <w:rFonts w:ascii="Arial" w:eastAsia="黑体" w:hAnsi="Arial"/>
      <w:b/>
      <w:sz w:val="32"/>
      <w:lang w:eastAsia="en-US" w:bidi="en-US"/>
    </w:rPr>
  </w:style>
  <w:style w:type="paragraph" w:styleId="3">
    <w:name w:val="heading 3"/>
    <w:basedOn w:val="a"/>
    <w:next w:val="a"/>
    <w:link w:val="30"/>
    <w:qFormat/>
    <w:pPr>
      <w:keepNext/>
      <w:keepLines/>
      <w:widowControl/>
      <w:pBdr>
        <w:top w:val="none" w:sz="0" w:space="0" w:color="000000"/>
        <w:left w:val="none" w:sz="0" w:space="0" w:color="000000"/>
        <w:bottom w:val="none" w:sz="0" w:space="0" w:color="000000"/>
        <w:right w:val="none" w:sz="0" w:space="0" w:color="000000"/>
        <w:between w:val="none" w:sz="0" w:space="0" w:color="000000"/>
      </w:pBdr>
      <w:spacing w:before="260" w:after="260" w:line="413" w:lineRule="auto"/>
      <w:jc w:val="left"/>
      <w:outlineLvl w:val="2"/>
    </w:pPr>
    <w:rPr>
      <w:rFonts w:eastAsia="宋体"/>
      <w:b/>
      <w:sz w:val="3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spacing w:after="57"/>
      <w:ind w:left="1701"/>
    </w:pPr>
  </w:style>
  <w:style w:type="paragraph" w:styleId="a3">
    <w:name w:val="Normal Indent"/>
    <w:basedOn w:val="a"/>
    <w:qFormat/>
    <w:pPr>
      <w:ind w:firstLine="420"/>
    </w:pPr>
  </w:style>
  <w:style w:type="paragraph" w:styleId="a4">
    <w:name w:val="Document Map"/>
    <w:basedOn w:val="a"/>
    <w:qFormat/>
    <w:pPr>
      <w:shd w:val="clear" w:color="000080" w:fill="000080"/>
    </w:pPr>
  </w:style>
  <w:style w:type="paragraph" w:styleId="a5">
    <w:name w:val="annotation text"/>
    <w:basedOn w:val="a"/>
    <w:link w:val="a6"/>
    <w:qFormat/>
    <w:pPr>
      <w:jc w:val="left"/>
    </w:pPr>
    <w:rPr>
      <w:lang w:val="zh-CN"/>
    </w:rPr>
  </w:style>
  <w:style w:type="paragraph" w:styleId="a7">
    <w:name w:val="Body Text"/>
    <w:basedOn w:val="a"/>
    <w:link w:val="a8"/>
    <w:qFormat/>
    <w:pPr>
      <w:spacing w:line="360" w:lineRule="auto"/>
      <w:jc w:val="left"/>
    </w:pPr>
    <w:rPr>
      <w:rFonts w:ascii="宋体"/>
      <w:sz w:val="20"/>
      <w:lang w:val="zh-CN"/>
    </w:rPr>
  </w:style>
  <w:style w:type="paragraph" w:styleId="5">
    <w:name w:val="toc 5"/>
    <w:basedOn w:val="a"/>
    <w:next w:val="a"/>
    <w:uiPriority w:val="39"/>
    <w:unhideWhenUsed/>
    <w:qFormat/>
    <w:pPr>
      <w:spacing w:after="57"/>
      <w:ind w:left="1134"/>
    </w:pPr>
  </w:style>
  <w:style w:type="paragraph" w:styleId="31">
    <w:name w:val="toc 3"/>
    <w:basedOn w:val="a"/>
    <w:next w:val="a"/>
    <w:qFormat/>
    <w:pPr>
      <w:ind w:left="840"/>
    </w:pPr>
  </w:style>
  <w:style w:type="paragraph" w:styleId="a9">
    <w:name w:val="Plain Text"/>
    <w:basedOn w:val="a"/>
    <w:qFormat/>
    <w:pPr>
      <w:spacing w:line="312" w:lineRule="atLeast"/>
    </w:pPr>
    <w:rPr>
      <w:rFonts w:ascii="宋体" w:hAnsi="Courier New"/>
    </w:rPr>
  </w:style>
  <w:style w:type="paragraph" w:styleId="8">
    <w:name w:val="toc 8"/>
    <w:basedOn w:val="a"/>
    <w:next w:val="a"/>
    <w:uiPriority w:val="39"/>
    <w:unhideWhenUsed/>
    <w:qFormat/>
    <w:pPr>
      <w:spacing w:after="57"/>
      <w:ind w:left="1984"/>
    </w:pPr>
  </w:style>
  <w:style w:type="paragraph" w:styleId="21">
    <w:name w:val="Body Text Indent 2"/>
    <w:basedOn w:val="a"/>
    <w:qFormat/>
    <w:pPr>
      <w:spacing w:line="360" w:lineRule="auto"/>
      <w:ind w:firstLine="425"/>
    </w:pPr>
    <w:rPr>
      <w:rFonts w:ascii="仿宋_GB2312" w:eastAsia="仿宋_GB2312"/>
      <w:sz w:val="28"/>
    </w:rPr>
  </w:style>
  <w:style w:type="paragraph" w:styleId="aa">
    <w:name w:val="endnote text"/>
    <w:basedOn w:val="a"/>
    <w:link w:val="ab"/>
    <w:uiPriority w:val="99"/>
    <w:semiHidden/>
    <w:unhideWhenUsed/>
    <w:qFormat/>
    <w:rPr>
      <w:sz w:val="20"/>
    </w:rPr>
  </w:style>
  <w:style w:type="paragraph" w:styleId="ac">
    <w:name w:val="Balloon Text"/>
    <w:basedOn w:val="a"/>
    <w:qFormat/>
    <w:rPr>
      <w:sz w:val="18"/>
    </w:rPr>
  </w:style>
  <w:style w:type="paragraph" w:styleId="ad">
    <w:name w:val="footer"/>
    <w:basedOn w:val="a"/>
    <w:link w:val="11"/>
    <w:uiPriority w:val="99"/>
    <w:unhideWhenUsed/>
    <w:qFormat/>
    <w:pPr>
      <w:tabs>
        <w:tab w:val="center" w:pos="4153"/>
        <w:tab w:val="right" w:pos="8306"/>
      </w:tabs>
      <w:snapToGrid w:val="0"/>
      <w:jc w:val="left"/>
    </w:pPr>
    <w:rPr>
      <w:sz w:val="18"/>
      <w:szCs w:val="18"/>
    </w:rPr>
  </w:style>
  <w:style w:type="paragraph" w:styleId="ae">
    <w:name w:val="header"/>
    <w:basedOn w:val="a"/>
    <w:link w:val="12"/>
    <w:uiPriority w:val="99"/>
    <w:unhideWhenUsed/>
    <w:qFormat/>
    <w:pPr>
      <w:pBdr>
        <w:bottom w:val="single" w:sz="6" w:space="1" w:color="auto"/>
      </w:pBdr>
      <w:tabs>
        <w:tab w:val="center" w:pos="4153"/>
        <w:tab w:val="right" w:pos="8306"/>
      </w:tabs>
      <w:snapToGrid w:val="0"/>
      <w:jc w:val="center"/>
    </w:pPr>
    <w:rPr>
      <w:sz w:val="18"/>
      <w:szCs w:val="18"/>
    </w:rPr>
  </w:style>
  <w:style w:type="paragraph" w:styleId="13">
    <w:name w:val="toc 1"/>
    <w:basedOn w:val="a"/>
    <w:next w:val="a"/>
    <w:qFormat/>
    <w:pPr>
      <w:tabs>
        <w:tab w:val="right" w:leader="dot" w:pos="8296"/>
      </w:tabs>
      <w:spacing w:line="360" w:lineRule="auto"/>
    </w:pPr>
  </w:style>
  <w:style w:type="paragraph" w:styleId="4">
    <w:name w:val="toc 4"/>
    <w:basedOn w:val="a"/>
    <w:next w:val="a"/>
    <w:uiPriority w:val="39"/>
    <w:unhideWhenUsed/>
    <w:qFormat/>
    <w:pPr>
      <w:spacing w:after="57"/>
      <w:ind w:left="850"/>
    </w:pPr>
  </w:style>
  <w:style w:type="paragraph" w:styleId="af">
    <w:name w:val="Subtitle"/>
    <w:basedOn w:val="a"/>
    <w:next w:val="a"/>
    <w:link w:val="af0"/>
    <w:uiPriority w:val="11"/>
    <w:qFormat/>
    <w:pPr>
      <w:spacing w:before="200" w:after="200"/>
    </w:pPr>
    <w:rPr>
      <w:sz w:val="24"/>
      <w:szCs w:val="24"/>
    </w:rPr>
  </w:style>
  <w:style w:type="paragraph" w:styleId="af1">
    <w:name w:val="footnote text"/>
    <w:basedOn w:val="a"/>
    <w:link w:val="af2"/>
    <w:qFormat/>
    <w:pPr>
      <w:jc w:val="left"/>
    </w:pPr>
    <w:rPr>
      <w:sz w:val="18"/>
    </w:rPr>
  </w:style>
  <w:style w:type="paragraph" w:styleId="6">
    <w:name w:val="toc 6"/>
    <w:basedOn w:val="a"/>
    <w:next w:val="a"/>
    <w:uiPriority w:val="39"/>
    <w:unhideWhenUsed/>
    <w:qFormat/>
    <w:pPr>
      <w:spacing w:after="57"/>
      <w:ind w:left="1417"/>
    </w:pPr>
  </w:style>
  <w:style w:type="paragraph" w:styleId="32">
    <w:name w:val="Body Text Indent 3"/>
    <w:basedOn w:val="a"/>
    <w:qFormat/>
    <w:pPr>
      <w:spacing w:line="360" w:lineRule="auto"/>
      <w:ind w:left="420" w:firstLine="435"/>
    </w:pPr>
    <w:rPr>
      <w:color w:val="0000FF"/>
    </w:rPr>
  </w:style>
  <w:style w:type="paragraph" w:styleId="af3">
    <w:name w:val="table of figures"/>
    <w:basedOn w:val="a"/>
    <w:next w:val="a"/>
    <w:uiPriority w:val="99"/>
    <w:unhideWhenUsed/>
    <w:qFormat/>
  </w:style>
  <w:style w:type="paragraph" w:styleId="22">
    <w:name w:val="toc 2"/>
    <w:basedOn w:val="a"/>
    <w:next w:val="a"/>
    <w:uiPriority w:val="39"/>
    <w:unhideWhenUsed/>
    <w:qFormat/>
    <w:pPr>
      <w:spacing w:after="57"/>
      <w:ind w:left="283"/>
    </w:pPr>
  </w:style>
  <w:style w:type="paragraph" w:styleId="9">
    <w:name w:val="toc 9"/>
    <w:basedOn w:val="a"/>
    <w:next w:val="a"/>
    <w:uiPriority w:val="39"/>
    <w:unhideWhenUsed/>
    <w:qFormat/>
    <w:pPr>
      <w:spacing w:after="57"/>
      <w:ind w:left="2268"/>
    </w:pPr>
  </w:style>
  <w:style w:type="paragraph" w:styleId="af4">
    <w:name w:val="Normal (Web)"/>
    <w:basedOn w:val="a"/>
    <w:uiPriority w:val="99"/>
    <w:unhideWhenUsed/>
    <w:qFormat/>
    <w:pPr>
      <w:widowControl/>
      <w:spacing w:before="100" w:beforeAutospacing="1" w:after="100" w:afterAutospacing="1"/>
      <w:jc w:val="left"/>
    </w:pPr>
    <w:rPr>
      <w:rFonts w:ascii="宋体" w:hAnsi="宋体" w:cs="宋体"/>
      <w:color w:val="000000"/>
      <w:sz w:val="24"/>
      <w:szCs w:val="24"/>
    </w:rPr>
  </w:style>
  <w:style w:type="paragraph" w:styleId="af5">
    <w:name w:val="Title"/>
    <w:basedOn w:val="a"/>
    <w:next w:val="a"/>
    <w:link w:val="af6"/>
    <w:qFormat/>
    <w:pPr>
      <w:spacing w:before="240" w:after="60"/>
      <w:jc w:val="center"/>
      <w:outlineLvl w:val="0"/>
    </w:pPr>
    <w:rPr>
      <w:rFonts w:ascii="Cambria" w:hAnsi="Cambria"/>
      <w:b/>
      <w:sz w:val="28"/>
      <w:lang w:val="zh-CN"/>
    </w:rPr>
  </w:style>
  <w:style w:type="paragraph" w:styleId="af7">
    <w:name w:val="annotation subject"/>
    <w:basedOn w:val="a5"/>
    <w:next w:val="a5"/>
    <w:qFormat/>
    <w:rPr>
      <w:b/>
    </w:rPr>
  </w:style>
  <w:style w:type="table" w:styleId="af8">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af9">
    <w:name w:val="endnote reference"/>
    <w:basedOn w:val="a0"/>
    <w:uiPriority w:val="99"/>
    <w:semiHidden/>
    <w:unhideWhenUsed/>
    <w:qFormat/>
    <w:rPr>
      <w:vertAlign w:val="superscript"/>
    </w:rPr>
  </w:style>
  <w:style w:type="character" w:styleId="afa">
    <w:name w:val="page number"/>
    <w:basedOn w:val="a0"/>
    <w:qFormat/>
  </w:style>
  <w:style w:type="character" w:styleId="afb">
    <w:name w:val="Hyperlink"/>
    <w:qFormat/>
    <w:rPr>
      <w:color w:val="0000FF"/>
      <w:u w:val="single"/>
    </w:rPr>
  </w:style>
  <w:style w:type="character" w:styleId="afc">
    <w:name w:val="annotation reference"/>
    <w:qFormat/>
    <w:rPr>
      <w:sz w:val="21"/>
    </w:rPr>
  </w:style>
  <w:style w:type="character" w:styleId="afd">
    <w:name w:val="footnote reference"/>
    <w:qFormat/>
    <w:rPr>
      <w:vertAlign w:val="superscript"/>
    </w:rPr>
  </w:style>
  <w:style w:type="paragraph" w:customStyle="1" w:styleId="110">
    <w:name w:val="标题 11"/>
    <w:basedOn w:val="a"/>
    <w:next w:val="a"/>
    <w:uiPriority w:val="9"/>
    <w:qFormat/>
    <w:pPr>
      <w:keepNext/>
      <w:keepLines/>
      <w:spacing w:before="480" w:after="200"/>
      <w:outlineLvl w:val="0"/>
    </w:pPr>
    <w:rPr>
      <w:rFonts w:ascii="Arial" w:eastAsia="Arial" w:hAnsi="Arial" w:cs="Arial"/>
      <w:sz w:val="40"/>
      <w:szCs w:val="40"/>
    </w:rPr>
  </w:style>
  <w:style w:type="paragraph" w:customStyle="1" w:styleId="210">
    <w:name w:val="标题 21"/>
    <w:basedOn w:val="a"/>
    <w:next w:val="a"/>
    <w:uiPriority w:val="9"/>
    <w:unhideWhenUsed/>
    <w:qFormat/>
    <w:pPr>
      <w:keepNext/>
      <w:keepLines/>
      <w:spacing w:before="360" w:after="200"/>
      <w:outlineLvl w:val="1"/>
    </w:pPr>
    <w:rPr>
      <w:rFonts w:ascii="Arial" w:eastAsia="Arial" w:hAnsi="Arial" w:cs="Arial"/>
      <w:sz w:val="34"/>
    </w:rPr>
  </w:style>
  <w:style w:type="paragraph" w:customStyle="1" w:styleId="310">
    <w:name w:val="标题 31"/>
    <w:basedOn w:val="a"/>
    <w:next w:val="a"/>
    <w:uiPriority w:val="9"/>
    <w:unhideWhenUsed/>
    <w:qFormat/>
    <w:pPr>
      <w:keepNext/>
      <w:keepLines/>
      <w:spacing w:before="320" w:after="200"/>
      <w:outlineLvl w:val="2"/>
    </w:pPr>
    <w:rPr>
      <w:rFonts w:ascii="Arial" w:eastAsia="Arial" w:hAnsi="Arial" w:cs="Arial"/>
      <w:sz w:val="30"/>
      <w:szCs w:val="30"/>
    </w:rPr>
  </w:style>
  <w:style w:type="paragraph" w:customStyle="1" w:styleId="41">
    <w:name w:val="标题 41"/>
    <w:basedOn w:val="a"/>
    <w:next w:val="a"/>
    <w:uiPriority w:val="9"/>
    <w:unhideWhenUsed/>
    <w:qFormat/>
    <w:pPr>
      <w:keepNext/>
      <w:keepLines/>
      <w:spacing w:before="320" w:after="200"/>
      <w:outlineLvl w:val="3"/>
    </w:pPr>
    <w:rPr>
      <w:rFonts w:ascii="Arial" w:eastAsia="Arial" w:hAnsi="Arial" w:cs="Arial"/>
      <w:b/>
      <w:bCs/>
      <w:sz w:val="26"/>
      <w:szCs w:val="26"/>
    </w:rPr>
  </w:style>
  <w:style w:type="paragraph" w:customStyle="1" w:styleId="51">
    <w:name w:val="标题 51"/>
    <w:basedOn w:val="a"/>
    <w:next w:val="a"/>
    <w:uiPriority w:val="9"/>
    <w:unhideWhenUsed/>
    <w:qFormat/>
    <w:pPr>
      <w:keepNext/>
      <w:keepLines/>
      <w:spacing w:before="320" w:after="200"/>
      <w:outlineLvl w:val="4"/>
    </w:pPr>
    <w:rPr>
      <w:rFonts w:ascii="Arial" w:eastAsia="Arial" w:hAnsi="Arial" w:cs="Arial"/>
      <w:b/>
      <w:bCs/>
      <w:sz w:val="24"/>
      <w:szCs w:val="24"/>
    </w:rPr>
  </w:style>
  <w:style w:type="paragraph" w:customStyle="1" w:styleId="61">
    <w:name w:val="标题 61"/>
    <w:basedOn w:val="a"/>
    <w:next w:val="a"/>
    <w:uiPriority w:val="9"/>
    <w:unhideWhenUsed/>
    <w:qFormat/>
    <w:pPr>
      <w:keepNext/>
      <w:keepLines/>
      <w:spacing w:before="320" w:after="200"/>
      <w:outlineLvl w:val="5"/>
    </w:pPr>
    <w:rPr>
      <w:rFonts w:ascii="Arial" w:eastAsia="Arial" w:hAnsi="Arial" w:cs="Arial"/>
      <w:b/>
      <w:bCs/>
      <w:sz w:val="22"/>
    </w:rPr>
  </w:style>
  <w:style w:type="paragraph" w:customStyle="1" w:styleId="71">
    <w:name w:val="标题 71"/>
    <w:basedOn w:val="a"/>
    <w:next w:val="a"/>
    <w:uiPriority w:val="9"/>
    <w:unhideWhenUsed/>
    <w:qFormat/>
    <w:pPr>
      <w:keepNext/>
      <w:keepLines/>
      <w:spacing w:before="320" w:after="200"/>
      <w:outlineLvl w:val="6"/>
    </w:pPr>
    <w:rPr>
      <w:rFonts w:ascii="Arial" w:eastAsia="Arial" w:hAnsi="Arial" w:cs="Arial"/>
      <w:b/>
      <w:bCs/>
      <w:i/>
      <w:iCs/>
      <w:sz w:val="22"/>
    </w:rPr>
  </w:style>
  <w:style w:type="paragraph" w:customStyle="1" w:styleId="81">
    <w:name w:val="标题 81"/>
    <w:basedOn w:val="a"/>
    <w:next w:val="a"/>
    <w:uiPriority w:val="9"/>
    <w:unhideWhenUsed/>
    <w:qFormat/>
    <w:pPr>
      <w:keepNext/>
      <w:keepLines/>
      <w:spacing w:before="320" w:after="200"/>
      <w:outlineLvl w:val="7"/>
    </w:pPr>
    <w:rPr>
      <w:rFonts w:ascii="Arial" w:eastAsia="Arial" w:hAnsi="Arial" w:cs="Arial"/>
      <w:i/>
      <w:iCs/>
      <w:sz w:val="22"/>
    </w:rPr>
  </w:style>
  <w:style w:type="paragraph" w:customStyle="1" w:styleId="91">
    <w:name w:val="标题 91"/>
    <w:basedOn w:val="a"/>
    <w:next w:val="a"/>
    <w:uiPriority w:val="9"/>
    <w:unhideWhenUsed/>
    <w:qFormat/>
    <w:pPr>
      <w:keepNext/>
      <w:keepLines/>
      <w:spacing w:before="320" w:after="200"/>
      <w:outlineLvl w:val="8"/>
    </w:pPr>
    <w:rPr>
      <w:rFonts w:ascii="Arial" w:eastAsia="Arial" w:hAnsi="Arial" w:cs="Arial"/>
      <w:i/>
      <w:iCs/>
      <w:szCs w:val="21"/>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paragraph" w:customStyle="1" w:styleId="14">
    <w:name w:val="题注1"/>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qFormat/>
  </w:style>
  <w:style w:type="table" w:customStyle="1" w:styleId="111">
    <w:name w:val="无格式表格 11"/>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FFFFF" w:fill="F2F2F2" w:themeFill="text1" w:themeFillTint="0D"/>
      </w:tcPr>
    </w:tblStylePr>
    <w:tblStylePr w:type="band2Vert">
      <w:pPr>
        <w:snapToGrid/>
      </w:pPr>
    </w:tblStylePr>
    <w:tblStylePr w:type="band1Horz">
      <w:pPr>
        <w:snapToGrid/>
      </w:p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
    <w:name w:val="无格式表格 21"/>
    <w:basedOn w:val="a1"/>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
    <w:name w:val="无格式表格 31"/>
    <w:basedOn w:val="a1"/>
    <w:uiPriority w:val="99"/>
    <w:qFormat/>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0">
    <w:name w:val="无格式表格 41"/>
    <w:basedOn w:val="a1"/>
    <w:uiPriority w:val="99"/>
    <w:qFormat/>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0">
    <w:name w:val="无格式表格 51"/>
    <w:basedOn w:val="a1"/>
    <w:uiPriority w:val="99"/>
    <w:qFormat/>
    <w:tblPr/>
    <w:tblStylePr w:type="firstRow">
      <w:pPr>
        <w:snapToGrid/>
      </w:pPr>
      <w:rPr>
        <w:i/>
        <w:color w:val="404040"/>
      </w:rPr>
      <w:tblPr/>
      <w:tcPr>
        <w:tcBorders>
          <w:left w:val="nil"/>
          <w:bottom w:val="single" w:sz="4" w:space="0" w:color="404040"/>
          <w:right w:val="nil"/>
        </w:tcBorders>
        <w:shd w:val="clear" w:color="FFFFFF" w:fill="FFFFFF"/>
      </w:tcPr>
    </w:tblStylePr>
    <w:tblStylePr w:type="lastRow">
      <w:pPr>
        <w:snapToGrid/>
      </w:pPr>
      <w:rPr>
        <w:i/>
        <w:color w:val="404040"/>
      </w:rPr>
      <w:tblPr/>
      <w:tcPr>
        <w:tcBorders>
          <w:top w:val="single" w:sz="4" w:space="0" w:color="404040"/>
          <w:left w:val="nil"/>
          <w:right w:val="nil"/>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2">
    <w:name w:val="网格表 1 浅色1"/>
    <w:basedOn w:val="a1"/>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2">
    <w:name w:val="网格表 2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single" w:sz="12" w:space="0" w:color="6A6A6A" w:themeColor="text1" w:themeTint="95"/>
          <w:right w:val="nil"/>
        </w:tcBorders>
        <w:shd w:val="clear" w:color="FFFFFF"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2">
    <w:name w:val="网格表 3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
    <w:name w:val="网格表 41"/>
    <w:basedOn w:val="a1"/>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
    <w:name w:val="网格表 5 深色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FFFFFF" w:fill="000000" w:themeFill="text1"/>
      </w:tcPr>
    </w:tblStylePr>
    <w:tblStylePr w:type="firstCol">
      <w:pPr>
        <w:snapToGrid/>
      </w:pPr>
      <w:rPr>
        <w:rFonts w:ascii="Arial" w:hAnsi="Arial"/>
        <w:b/>
        <w:color w:val="FFFFFF"/>
        <w:sz w:val="22"/>
      </w:rPr>
      <w:tblPr/>
      <w:tcPr>
        <w:shd w:val="clear" w:color="FFFFFF" w:fill="000000" w:themeFill="text1"/>
      </w:tcPr>
    </w:tblStylePr>
    <w:tblStylePr w:type="lastCol">
      <w:pPr>
        <w:snapToGrid/>
      </w:pPr>
      <w:rPr>
        <w:rFonts w:ascii="Arial" w:hAnsi="Arial"/>
        <w:b/>
        <w:color w:val="FFFFFF"/>
        <w:sz w:val="22"/>
      </w:rPr>
      <w:tblPr/>
      <w:tcPr>
        <w:shd w:val="clear" w:color="FFFFFF" w:fill="000000" w:themeFill="text1"/>
      </w:tcPr>
    </w:tblStylePr>
    <w:tblStylePr w:type="band1Vert">
      <w:pPr>
        <w:snapToGrid/>
      </w:pPr>
      <w:tblPr/>
      <w:tcPr>
        <w:shd w:val="clear" w:color="FFFFFF" w:fill="8A8A8A" w:themeFill="text1" w:themeFillTint="75"/>
      </w:tcPr>
    </w:tblStylePr>
    <w:tblStylePr w:type="band2Vert">
      <w:pPr>
        <w:snapToGrid/>
      </w:pPr>
    </w:tblStylePr>
    <w:tblStylePr w:type="band1Horz">
      <w:pPr>
        <w:snapToGrid/>
      </w:pPr>
      <w:tblPr/>
      <w:tcPr>
        <w:shd w:val="clear" w:color="FFFFFF"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0">
    <w:name w:val="网格表 6 彩色1"/>
    <w:basedOn w:val="a1"/>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rPr>
      <w:tblPr/>
      <w:tcPr>
        <w:tcBorders>
          <w:bottom w:val="single" w:sz="12" w:space="0" w:color="7F7F7F" w:themeColor="text1" w:themeTint="80"/>
        </w:tcBorders>
      </w:tcPr>
    </w:tblStylePr>
    <w:tblStylePr w:type="lastRow">
      <w:pPr>
        <w:snapToGrid/>
      </w:pPr>
      <w:rPr>
        <w:b/>
        <w:color w:val="7F7F7F" w:themeColor="text1" w:themeTint="80"/>
      </w:rPr>
    </w:tblStylePr>
    <w:tblStylePr w:type="firstCol">
      <w:pPr>
        <w:snapToGrid/>
      </w:pPr>
      <w:rPr>
        <w:b/>
        <w:color w:val="7F7F7F" w:themeColor="text1" w:themeTint="80"/>
      </w:rPr>
    </w:tblStylePr>
    <w:tblStylePr w:type="lastCol">
      <w:pPr>
        <w:snapToGrid/>
      </w:pPr>
      <w:rPr>
        <w:b/>
        <w:color w:val="7F7F7F" w:themeColor="text1" w:themeTint="80"/>
      </w:rPr>
    </w:tblStylePr>
    <w:tblStylePr w:type="band1Vert">
      <w:pPr>
        <w:snapToGrid/>
      </w:pPr>
      <w:tblPr/>
      <w:tcPr>
        <w:shd w:val="clear" w:color="FFFFFF" w:fill="CBCBCB" w:themeFill="text1" w:themeFillTint="34"/>
      </w:tcPr>
    </w:tblStylePr>
    <w:tblStylePr w:type="band2Vert">
      <w:pPr>
        <w:snapToGrid/>
      </w:pPr>
    </w:tblStylePr>
    <w:tblStylePr w:type="band1Horz">
      <w:pPr>
        <w:snapToGrid/>
      </w:pPr>
      <w:rPr>
        <w:rFonts w:ascii="Arial" w:hAnsi="Arial"/>
        <w:color w:val="7F7F7F" w:themeColor="text1" w:themeTint="80"/>
        <w:sz w:val="22"/>
      </w:rPr>
      <w:tblPr/>
      <w:tcPr>
        <w:shd w:val="clear" w:color="FFFFFF" w:fill="CBCBCB" w:themeFill="text1" w:themeFillTint="34"/>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0">
    <w:name w:val="网格表 7 彩色1"/>
    <w:basedOn w:val="a1"/>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FFFFFF" w:fill="F2F2F2" w:themeFill="text1" w:themeFillTint="0D"/>
      </w:tcPr>
    </w:tblStylePr>
    <w:tblStylePr w:type="band2Vert">
      <w:pPr>
        <w:snapToGrid/>
      </w:pPr>
    </w:tblStylePr>
    <w:tblStylePr w:type="band1Horz">
      <w:pPr>
        <w:snapToGrid/>
      </w:pPr>
      <w:rPr>
        <w:rFonts w:ascii="Arial" w:hAnsi="Arial"/>
        <w:color w:val="7F7F7F" w:themeColor="text1" w:themeTint="80"/>
        <w:sz w:val="22"/>
      </w:rPr>
      <w:tblPr/>
      <w:tcPr>
        <w:shd w:val="clear" w:color="FFFFFF" w:fill="F2F2F2" w:themeFill="text1" w:themeFillTint="0D"/>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3">
    <w:name w:val="清单表 1 浅色1"/>
    <w:basedOn w:val="a1"/>
    <w:uiPriority w:val="99"/>
    <w:qFormat/>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3">
    <w:name w:val="清单表 21"/>
    <w:basedOn w:val="a1"/>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3">
    <w:name w:val="清单表 3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2">
    <w:name w:val="清单表 4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2">
    <w:name w:val="清单表 5 深色1"/>
    <w:basedOn w:val="a1"/>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FFFFF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1">
    <w:name w:val="清单表 6 彩色1"/>
    <w:basedOn w:val="a1"/>
    <w:uiPriority w:val="99"/>
    <w:qFormat/>
    <w:tblPr>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FFFFF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1">
    <w:name w:val="清单表 7 彩色1"/>
    <w:basedOn w:val="a1"/>
    <w:uiPriority w:val="99"/>
    <w:qFormat/>
    <w:tblPr>
      <w:tblBorders>
        <w:right w:val="single" w:sz="4" w:space="0" w:color="7F7F7F" w:themeColor="text1" w:themeTint="80"/>
      </w:tblBorders>
    </w:tblPr>
    <w:tblStylePr w:type="firstRow">
      <w:pPr>
        <w:snapToGrid/>
      </w:pPr>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7F7F7F" w:themeColor="text1" w:themeTint="80"/>
        <w:sz w:val="22"/>
      </w:rPr>
      <w:tblPr/>
      <w:tcPr>
        <w:shd w:val="clear" w:color="FFFFFF" w:fill="BFBFBF" w:themeFill="text1" w:themeFillTint="40"/>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FootnoteTextChar">
    <w:name w:val="Footnote Text Char"/>
    <w:uiPriority w:val="99"/>
    <w:qFormat/>
    <w:rPr>
      <w:sz w:val="18"/>
    </w:rPr>
  </w:style>
  <w:style w:type="character" w:customStyle="1" w:styleId="ab">
    <w:name w:val="尾注文本 字符"/>
    <w:link w:val="aa"/>
    <w:uiPriority w:val="99"/>
    <w:qFormat/>
    <w:rPr>
      <w:sz w:val="20"/>
    </w:rPr>
  </w:style>
  <w:style w:type="character" w:customStyle="1" w:styleId="Heading1Char">
    <w:name w:val="Heading 1 Char"/>
    <w:basedOn w:val="a0"/>
    <w:link w:val="1110"/>
    <w:uiPriority w:val="9"/>
    <w:qFormat/>
    <w:rPr>
      <w:rFonts w:ascii="Arial" w:hAnsi="Arial" w:cs="Arial"/>
      <w:sz w:val="40"/>
      <w:szCs w:val="40"/>
    </w:rPr>
  </w:style>
  <w:style w:type="paragraph" w:customStyle="1" w:styleId="1110">
    <w:name w:val="标题 111"/>
    <w:basedOn w:val="a"/>
    <w:next w:val="a"/>
    <w:link w:val="Heading1Char"/>
    <w:qFormat/>
    <w:pPr>
      <w:keepNext/>
      <w:keepLines/>
      <w:spacing w:before="120" w:after="120" w:line="360" w:lineRule="auto"/>
      <w:outlineLvl w:val="0"/>
    </w:pPr>
    <w:rPr>
      <w:rFonts w:ascii="宋体"/>
      <w:b/>
      <w:color w:val="000000"/>
      <w:sz w:val="24"/>
    </w:rPr>
  </w:style>
  <w:style w:type="character" w:customStyle="1" w:styleId="Heading2Char">
    <w:name w:val="Heading 2 Char"/>
    <w:basedOn w:val="a0"/>
    <w:link w:val="2110"/>
    <w:uiPriority w:val="9"/>
    <w:qFormat/>
    <w:rPr>
      <w:rFonts w:ascii="Arial" w:hAnsi="Arial" w:cs="Arial"/>
      <w:sz w:val="34"/>
    </w:rPr>
  </w:style>
  <w:style w:type="paragraph" w:customStyle="1" w:styleId="2110">
    <w:name w:val="标题 211"/>
    <w:basedOn w:val="a"/>
    <w:next w:val="a"/>
    <w:link w:val="Heading2Char"/>
    <w:qFormat/>
    <w:pPr>
      <w:keepNext/>
      <w:keepLines/>
      <w:spacing w:before="260" w:after="260" w:line="413" w:lineRule="auto"/>
      <w:outlineLvl w:val="1"/>
    </w:pPr>
    <w:rPr>
      <w:rFonts w:ascii="Arial" w:eastAsia="黑体" w:hAnsi="Arial"/>
      <w:b/>
      <w:sz w:val="28"/>
    </w:rPr>
  </w:style>
  <w:style w:type="character" w:customStyle="1" w:styleId="Heading3Char">
    <w:name w:val="Heading 3 Char"/>
    <w:basedOn w:val="a0"/>
    <w:link w:val="3110"/>
    <w:uiPriority w:val="9"/>
    <w:qFormat/>
    <w:rPr>
      <w:rFonts w:ascii="Arial" w:hAnsi="Arial" w:cs="Arial"/>
      <w:sz w:val="30"/>
      <w:szCs w:val="30"/>
    </w:rPr>
  </w:style>
  <w:style w:type="paragraph" w:customStyle="1" w:styleId="3110">
    <w:name w:val="标题 311"/>
    <w:basedOn w:val="a"/>
    <w:next w:val="a"/>
    <w:link w:val="Heading3Char"/>
    <w:qFormat/>
    <w:pPr>
      <w:keepNext/>
      <w:keepLines/>
      <w:spacing w:before="260" w:after="260" w:line="413" w:lineRule="auto"/>
      <w:outlineLvl w:val="2"/>
    </w:pPr>
    <w:rPr>
      <w:b/>
      <w:sz w:val="28"/>
    </w:rPr>
  </w:style>
  <w:style w:type="paragraph" w:customStyle="1" w:styleId="4110">
    <w:name w:val="标题 411"/>
    <w:basedOn w:val="a"/>
    <w:next w:val="a"/>
    <w:link w:val="Heading4Char"/>
    <w:uiPriority w:val="9"/>
    <w:unhideWhenUsed/>
    <w:qFormat/>
    <w:pPr>
      <w:keepNext/>
      <w:keepLines/>
      <w:spacing w:before="320" w:after="200"/>
      <w:outlineLvl w:val="3"/>
    </w:pPr>
    <w:rPr>
      <w:rFonts w:ascii="Arial" w:hAnsi="Arial" w:cs="Arial"/>
      <w:b/>
      <w:bCs/>
      <w:sz w:val="26"/>
      <w:szCs w:val="26"/>
    </w:rPr>
  </w:style>
  <w:style w:type="character" w:customStyle="1" w:styleId="Heading4Char">
    <w:name w:val="Heading 4 Char"/>
    <w:basedOn w:val="a0"/>
    <w:link w:val="4110"/>
    <w:uiPriority w:val="9"/>
    <w:qFormat/>
    <w:rPr>
      <w:rFonts w:ascii="Arial" w:hAnsi="Arial" w:cs="Arial"/>
      <w:b/>
      <w:bCs/>
      <w:sz w:val="26"/>
      <w:szCs w:val="26"/>
    </w:rPr>
  </w:style>
  <w:style w:type="paragraph" w:customStyle="1" w:styleId="5110">
    <w:name w:val="标题 511"/>
    <w:basedOn w:val="a"/>
    <w:next w:val="a"/>
    <w:link w:val="Heading5Char"/>
    <w:uiPriority w:val="9"/>
    <w:unhideWhenUsed/>
    <w:qFormat/>
    <w:pPr>
      <w:keepNext/>
      <w:keepLines/>
      <w:spacing w:before="320" w:after="200"/>
      <w:outlineLvl w:val="4"/>
    </w:pPr>
    <w:rPr>
      <w:rFonts w:ascii="Arial" w:hAnsi="Arial" w:cs="Arial"/>
      <w:b/>
      <w:bCs/>
      <w:sz w:val="24"/>
      <w:szCs w:val="24"/>
    </w:rPr>
  </w:style>
  <w:style w:type="character" w:customStyle="1" w:styleId="Heading5Char">
    <w:name w:val="Heading 5 Char"/>
    <w:basedOn w:val="a0"/>
    <w:link w:val="5110"/>
    <w:uiPriority w:val="9"/>
    <w:qFormat/>
    <w:rPr>
      <w:rFonts w:ascii="Arial" w:hAnsi="Arial" w:cs="Arial"/>
      <w:b/>
      <w:bCs/>
      <w:sz w:val="24"/>
      <w:szCs w:val="24"/>
    </w:rPr>
  </w:style>
  <w:style w:type="paragraph" w:customStyle="1" w:styleId="6110">
    <w:name w:val="标题 611"/>
    <w:basedOn w:val="a"/>
    <w:next w:val="a"/>
    <w:link w:val="Heading6Char"/>
    <w:uiPriority w:val="9"/>
    <w:unhideWhenUsed/>
    <w:qFormat/>
    <w:pPr>
      <w:keepNext/>
      <w:keepLines/>
      <w:spacing w:before="320" w:after="200"/>
      <w:outlineLvl w:val="5"/>
    </w:pPr>
    <w:rPr>
      <w:rFonts w:ascii="Arial" w:hAnsi="Arial" w:cs="Arial"/>
      <w:b/>
      <w:bCs/>
      <w:sz w:val="22"/>
    </w:rPr>
  </w:style>
  <w:style w:type="character" w:customStyle="1" w:styleId="Heading6Char">
    <w:name w:val="Heading 6 Char"/>
    <w:basedOn w:val="a0"/>
    <w:link w:val="6110"/>
    <w:uiPriority w:val="9"/>
    <w:qFormat/>
    <w:rPr>
      <w:rFonts w:ascii="Arial" w:hAnsi="Arial" w:cs="Arial"/>
      <w:b/>
      <w:bCs/>
      <w:sz w:val="22"/>
      <w:szCs w:val="22"/>
    </w:rPr>
  </w:style>
  <w:style w:type="paragraph" w:customStyle="1" w:styleId="7110">
    <w:name w:val="标题 711"/>
    <w:basedOn w:val="a"/>
    <w:next w:val="a"/>
    <w:link w:val="Heading7Char"/>
    <w:uiPriority w:val="9"/>
    <w:unhideWhenUsed/>
    <w:qFormat/>
    <w:pPr>
      <w:keepNext/>
      <w:keepLines/>
      <w:spacing w:before="320" w:after="200"/>
      <w:outlineLvl w:val="6"/>
    </w:pPr>
    <w:rPr>
      <w:rFonts w:ascii="Arial" w:hAnsi="Arial" w:cs="Arial"/>
      <w:b/>
      <w:bCs/>
      <w:i/>
      <w:iCs/>
      <w:sz w:val="22"/>
    </w:rPr>
  </w:style>
  <w:style w:type="character" w:customStyle="1" w:styleId="Heading7Char">
    <w:name w:val="Heading 7 Char"/>
    <w:basedOn w:val="a0"/>
    <w:link w:val="7110"/>
    <w:uiPriority w:val="9"/>
    <w:qFormat/>
    <w:rPr>
      <w:rFonts w:ascii="Arial" w:hAnsi="Arial" w:cs="Arial"/>
      <w:b/>
      <w:bCs/>
      <w:i/>
      <w:iCs/>
      <w:sz w:val="22"/>
      <w:szCs w:val="22"/>
    </w:rPr>
  </w:style>
  <w:style w:type="paragraph" w:customStyle="1" w:styleId="811">
    <w:name w:val="标题 811"/>
    <w:basedOn w:val="a"/>
    <w:next w:val="a"/>
    <w:link w:val="Heading8Char"/>
    <w:uiPriority w:val="9"/>
    <w:unhideWhenUsed/>
    <w:qFormat/>
    <w:pPr>
      <w:keepNext/>
      <w:keepLines/>
      <w:spacing w:before="320" w:after="200"/>
      <w:outlineLvl w:val="7"/>
    </w:pPr>
    <w:rPr>
      <w:rFonts w:ascii="Arial" w:hAnsi="Arial" w:cs="Arial"/>
      <w:i/>
      <w:iCs/>
      <w:sz w:val="22"/>
    </w:rPr>
  </w:style>
  <w:style w:type="character" w:customStyle="1" w:styleId="Heading8Char">
    <w:name w:val="Heading 8 Char"/>
    <w:basedOn w:val="a0"/>
    <w:link w:val="811"/>
    <w:uiPriority w:val="9"/>
    <w:qFormat/>
    <w:rPr>
      <w:rFonts w:ascii="Arial" w:hAnsi="Arial" w:cs="Arial"/>
      <w:i/>
      <w:iCs/>
      <w:sz w:val="22"/>
      <w:szCs w:val="22"/>
    </w:rPr>
  </w:style>
  <w:style w:type="paragraph" w:customStyle="1" w:styleId="911">
    <w:name w:val="标题 911"/>
    <w:basedOn w:val="a"/>
    <w:next w:val="a"/>
    <w:link w:val="Heading9Char"/>
    <w:uiPriority w:val="9"/>
    <w:unhideWhenUsed/>
    <w:qFormat/>
    <w:pPr>
      <w:keepNext/>
      <w:keepLines/>
      <w:spacing w:before="320" w:after="200"/>
      <w:outlineLvl w:val="8"/>
    </w:pPr>
    <w:rPr>
      <w:rFonts w:ascii="Arial" w:hAnsi="Arial" w:cs="Arial"/>
      <w:i/>
      <w:iCs/>
      <w:szCs w:val="21"/>
    </w:rPr>
  </w:style>
  <w:style w:type="character" w:customStyle="1" w:styleId="Heading9Char">
    <w:name w:val="Heading 9 Char"/>
    <w:basedOn w:val="a0"/>
    <w:link w:val="911"/>
    <w:uiPriority w:val="9"/>
    <w:qFormat/>
    <w:rPr>
      <w:rFonts w:ascii="Arial" w:hAnsi="Arial" w:cs="Arial"/>
      <w:i/>
      <w:iCs/>
      <w:sz w:val="21"/>
      <w:szCs w:val="21"/>
    </w:rPr>
  </w:style>
  <w:style w:type="paragraph" w:styleId="afe">
    <w:name w:val="No Spacing"/>
    <w:uiPriority w:val="1"/>
    <w:qFormat/>
    <w:rPr>
      <w:sz w:val="22"/>
      <w:szCs w:val="22"/>
    </w:rPr>
  </w:style>
  <w:style w:type="character" w:customStyle="1" w:styleId="TitleChar">
    <w:name w:val="Title Char"/>
    <w:basedOn w:val="a0"/>
    <w:uiPriority w:val="10"/>
    <w:qFormat/>
    <w:rPr>
      <w:sz w:val="48"/>
      <w:szCs w:val="48"/>
    </w:rPr>
  </w:style>
  <w:style w:type="character" w:customStyle="1" w:styleId="af0">
    <w:name w:val="副标题 字符"/>
    <w:basedOn w:val="a0"/>
    <w:link w:val="af"/>
    <w:uiPriority w:val="11"/>
    <w:qFormat/>
    <w:rPr>
      <w:sz w:val="24"/>
      <w:szCs w:val="24"/>
    </w:rPr>
  </w:style>
  <w:style w:type="paragraph" w:styleId="aff">
    <w:name w:val="Quote"/>
    <w:basedOn w:val="a"/>
    <w:next w:val="a"/>
    <w:link w:val="aff0"/>
    <w:uiPriority w:val="29"/>
    <w:qFormat/>
    <w:pPr>
      <w:ind w:left="720" w:right="720"/>
    </w:pPr>
    <w:rPr>
      <w:i/>
    </w:rPr>
  </w:style>
  <w:style w:type="character" w:customStyle="1" w:styleId="aff0">
    <w:name w:val="引用 字符"/>
    <w:link w:val="aff"/>
    <w:uiPriority w:val="29"/>
    <w:qFormat/>
    <w:rPr>
      <w:i/>
      <w:sz w:val="21"/>
    </w:rPr>
  </w:style>
  <w:style w:type="paragraph" w:styleId="aff1">
    <w:name w:val="Intense Quote"/>
    <w:basedOn w:val="a"/>
    <w:next w:val="a"/>
    <w:link w:val="aff2"/>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ff2">
    <w:name w:val="明显引用 字符"/>
    <w:link w:val="aff1"/>
    <w:uiPriority w:val="30"/>
    <w:qFormat/>
    <w:rPr>
      <w:i/>
      <w:sz w:val="21"/>
      <w:shd w:val="clear" w:color="F2F2F2" w:fill="F2F2F2"/>
    </w:rPr>
  </w:style>
  <w:style w:type="character" w:customStyle="1" w:styleId="HeaderChar">
    <w:name w:val="Header Char"/>
    <w:basedOn w:val="a0"/>
    <w:uiPriority w:val="99"/>
    <w:qFormat/>
  </w:style>
  <w:style w:type="character" w:customStyle="1" w:styleId="FooterChar">
    <w:name w:val="Footer Char"/>
    <w:basedOn w:val="a0"/>
    <w:link w:val="15"/>
    <w:uiPriority w:val="99"/>
    <w:qFormat/>
    <w:rPr>
      <w:sz w:val="18"/>
    </w:rPr>
  </w:style>
  <w:style w:type="paragraph" w:customStyle="1" w:styleId="15">
    <w:name w:val="页脚1"/>
    <w:basedOn w:val="a"/>
    <w:link w:val="FooterChar"/>
    <w:uiPriority w:val="99"/>
    <w:qFormat/>
    <w:pPr>
      <w:tabs>
        <w:tab w:val="center" w:pos="4153"/>
        <w:tab w:val="right" w:pos="8306"/>
      </w:tabs>
      <w:jc w:val="left"/>
    </w:pPr>
    <w:rPr>
      <w:sz w:val="18"/>
    </w:rPr>
  </w:style>
  <w:style w:type="table" w:customStyle="1" w:styleId="TableGridLight">
    <w:name w:val="Table Grid Light"/>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1">
    <w:name w:val="无格式表格 111"/>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2F2F2" w:fill="F2F2F2" w:themeFill="text1" w:themeFillTint="0D"/>
      </w:tcPr>
    </w:tblStylePr>
    <w:tblStylePr w:type="band2Vert">
      <w:pPr>
        <w:snapToGrid/>
      </w:pPr>
    </w:tblStylePr>
    <w:tblStylePr w:type="band1Horz">
      <w:pPr>
        <w:snapToGrid/>
      </w:p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1">
    <w:name w:val="无格式表格 211"/>
    <w:basedOn w:val="a1"/>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1">
    <w:name w:val="无格式表格 311"/>
    <w:basedOn w:val="a1"/>
    <w:uiPriority w:val="99"/>
    <w:qFormat/>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2F2F2"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1">
    <w:name w:val="无格式表格 411"/>
    <w:basedOn w:val="a1"/>
    <w:uiPriority w:val="99"/>
    <w:qFormat/>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2F2F2"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1">
    <w:name w:val="无格式表格 511"/>
    <w:basedOn w:val="a1"/>
    <w:uiPriority w:val="99"/>
    <w:qFormat/>
    <w:tblPr/>
    <w:tblStylePr w:type="firstRow">
      <w:pPr>
        <w:snapToGrid/>
      </w:pPr>
      <w:rPr>
        <w:i/>
        <w:color w:val="404040"/>
      </w:rPr>
      <w:tblPr/>
      <w:tcPr>
        <w:tcBorders>
          <w:left w:val="nil"/>
          <w:bottom w:val="single" w:sz="4" w:space="0" w:color="404040"/>
          <w:right w:val="nil"/>
        </w:tcBorders>
        <w:shd w:val="clear" w:color="FFFFFF" w:fill="FFFFFF"/>
      </w:tcPr>
    </w:tblStylePr>
    <w:tblStylePr w:type="lastRow">
      <w:pPr>
        <w:snapToGrid/>
      </w:pPr>
      <w:rPr>
        <w:i/>
        <w:color w:val="404040"/>
      </w:rPr>
      <w:tblPr/>
      <w:tcPr>
        <w:tcBorders>
          <w:top w:val="single" w:sz="4" w:space="0" w:color="404040"/>
          <w:left w:val="nil"/>
          <w:right w:val="nil"/>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2F2F2"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2">
    <w:name w:val="网格表 1 浅色11"/>
    <w:basedOn w:val="a1"/>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1"/>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pPr>
        <w:snapToGrid/>
      </w:pPr>
      <w:rPr>
        <w:b/>
        <w:color w:val="404040"/>
      </w:rPr>
      <w:tblPr/>
      <w:tcPr>
        <w:tcBorders>
          <w:bottom w:val="single" w:sz="12" w:space="0" w:color="97B4D8"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1"/>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pPr>
        <w:snapToGrid/>
      </w:pPr>
      <w:rPr>
        <w:b/>
        <w:color w:val="404040"/>
      </w:rPr>
      <w:tblPr/>
      <w:tcPr>
        <w:tcBorders>
          <w:bottom w:val="single" w:sz="12" w:space="0" w:color="DA989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1"/>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pPr>
        <w:snapToGrid/>
      </w:pPr>
      <w:rPr>
        <w:b/>
        <w:color w:val="404040"/>
      </w:rPr>
      <w:tblPr/>
      <w:tcPr>
        <w:tcBorders>
          <w:bottom w:val="single" w:sz="12" w:space="0" w:color="C4D79D"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1"/>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pPr>
        <w:snapToGrid/>
      </w:pPr>
      <w:rPr>
        <w:b/>
        <w:color w:val="404040"/>
      </w:rPr>
      <w:tblPr/>
      <w:tcPr>
        <w:tcBorders>
          <w:bottom w:val="single" w:sz="12" w:space="0" w:color="B4A4C8"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1"/>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pPr>
        <w:snapToGrid/>
      </w:pPr>
      <w:rPr>
        <w:b/>
        <w:color w:val="404040"/>
      </w:rPr>
      <w:tblPr/>
      <w:tcPr>
        <w:tcBorders>
          <w:bottom w:val="single" w:sz="12" w:space="0" w:color="95CEDD"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1"/>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pPr>
        <w:snapToGrid/>
      </w:pPr>
      <w:rPr>
        <w:b/>
        <w:color w:val="404040"/>
      </w:rPr>
      <w:tblPr/>
      <w:tcPr>
        <w:tcBorders>
          <w:bottom w:val="single" w:sz="12" w:space="0" w:color="FAC192"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2">
    <w:name w:val="网格表 21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single" w:sz="12" w:space="0" w:color="6A6A6A" w:themeColor="text1" w:themeTint="95"/>
          <w:right w:val="nil"/>
        </w:tcBorders>
        <w:shd w:val="clear" w:color="FFFFFF"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1"/>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pPr>
        <w:snapToGrid/>
      </w:pPr>
      <w:rPr>
        <w:b/>
        <w:color w:val="404040"/>
      </w:rPr>
      <w:tblPr/>
      <w:tcPr>
        <w:tcBorders>
          <w:top w:val="nil"/>
          <w:left w:val="nil"/>
          <w:bottom w:val="single" w:sz="12" w:space="0" w:color="5D8AC2" w:themeColor="accent1" w:themeTint="EA"/>
          <w:right w:val="nil"/>
        </w:tcBorders>
        <w:shd w:val="clear" w:color="FFFFFF" w:fill="FFFFFF"/>
      </w:tcPr>
    </w:tblStylePr>
    <w:tblStylePr w:type="lastRow">
      <w:pPr>
        <w:snapToGrid/>
      </w:pPr>
      <w:rPr>
        <w:b/>
        <w:color w:val="404040"/>
      </w:rPr>
      <w:tblPr/>
      <w:tcPr>
        <w:tcBorders>
          <w:top w:val="single" w:sz="4" w:space="0" w:color="5D8AC2" w:themeColor="accent1" w:themeTint="EA"/>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AE5F1"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DAE5F1"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1"/>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404040"/>
      </w:rPr>
      <w:tblPr/>
      <w:tcPr>
        <w:tcBorders>
          <w:top w:val="nil"/>
          <w:left w:val="nil"/>
          <w:bottom w:val="single" w:sz="12" w:space="0" w:color="D99695" w:themeColor="accent2" w:themeTint="97"/>
          <w:right w:val="nil"/>
        </w:tcBorders>
        <w:shd w:val="clear" w:color="FFFFFF" w:fill="FFFFFF"/>
      </w:tcPr>
    </w:tblStylePr>
    <w:tblStylePr w:type="lastRow">
      <w:pPr>
        <w:snapToGrid/>
      </w:pPr>
      <w:rPr>
        <w:b/>
        <w:color w:val="404040"/>
      </w:rPr>
      <w:tblPr/>
      <w:tcPr>
        <w:tcBorders>
          <w:top w:val="single" w:sz="4" w:space="0" w:color="D99695" w:themeColor="accent2" w:themeTint="97"/>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2DCDC"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2DCDC"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1"/>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404040"/>
      </w:rPr>
      <w:tblPr/>
      <w:tcPr>
        <w:tcBorders>
          <w:top w:val="nil"/>
          <w:left w:val="nil"/>
          <w:bottom w:val="single" w:sz="12" w:space="0" w:color="9ABB59" w:themeColor="accent3" w:themeTint="FE"/>
          <w:right w:val="nil"/>
        </w:tcBorders>
        <w:shd w:val="clear" w:color="FFFFFF" w:fill="FFFFFF"/>
      </w:tcPr>
    </w:tblStylePr>
    <w:tblStylePr w:type="lastRow">
      <w:pPr>
        <w:snapToGrid/>
      </w:pPr>
      <w:rPr>
        <w:b/>
        <w:color w:val="404040"/>
      </w:rPr>
      <w:tblPr/>
      <w:tcPr>
        <w:tcBorders>
          <w:top w:val="single" w:sz="4" w:space="0" w:color="9ABB59" w:themeColor="accent3" w:themeTint="FE"/>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EAF1DC"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EAF1DC"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1"/>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404040"/>
      </w:rPr>
      <w:tblPr/>
      <w:tcPr>
        <w:tcBorders>
          <w:top w:val="nil"/>
          <w:left w:val="nil"/>
          <w:bottom w:val="single" w:sz="12" w:space="0" w:color="B2A1C6" w:themeColor="accent4" w:themeTint="9A"/>
          <w:right w:val="nil"/>
        </w:tcBorders>
        <w:shd w:val="clear" w:color="FFFFFF" w:fill="FFFFFF"/>
      </w:tcPr>
    </w:tblStylePr>
    <w:tblStylePr w:type="lastRow">
      <w:pPr>
        <w:snapToGrid/>
      </w:pPr>
      <w:rPr>
        <w:b/>
        <w:color w:val="404040"/>
      </w:rPr>
      <w:tblPr/>
      <w:tcPr>
        <w:tcBorders>
          <w:top w:val="single" w:sz="4" w:space="0" w:color="B2A1C6" w:themeColor="accent4" w:themeTint="9A"/>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E5DFEC"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E5DFEC"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1"/>
    <w:uiPriority w:val="99"/>
    <w:qFormat/>
    <w:tblPr>
      <w:tblBorders>
        <w:bottom w:val="single" w:sz="4" w:space="0" w:color="4BACC6" w:themeColor="accent5"/>
        <w:insideH w:val="single" w:sz="4" w:space="0" w:color="4BACC6" w:themeColor="accent5"/>
        <w:insideV w:val="single" w:sz="4" w:space="0" w:color="4BACC6" w:themeColor="accent5"/>
      </w:tblBorders>
    </w:tblPr>
    <w:tblStylePr w:type="firstRow">
      <w:pPr>
        <w:snapToGrid/>
      </w:pPr>
      <w:rPr>
        <w:b/>
        <w:color w:val="404040"/>
      </w:rPr>
      <w:tblPr/>
      <w:tcPr>
        <w:tcBorders>
          <w:top w:val="nil"/>
          <w:left w:val="nil"/>
          <w:bottom w:val="single" w:sz="12" w:space="0" w:color="4BACC6" w:themeColor="accent5"/>
          <w:right w:val="nil"/>
        </w:tcBorders>
        <w:shd w:val="clear" w:color="FFFFFF" w:fill="FFFFFF"/>
      </w:tcPr>
    </w:tblStylePr>
    <w:tblStylePr w:type="lastRow">
      <w:pPr>
        <w:snapToGrid/>
      </w:pPr>
      <w:rPr>
        <w:b/>
        <w:color w:val="404040"/>
      </w:rPr>
      <w:tblPr/>
      <w:tcPr>
        <w:tcBorders>
          <w:top w:val="single" w:sz="4" w:space="0" w:color="4BACC6" w:themeColor="accent5"/>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AEEF3"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DAEEF3"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1"/>
    <w:uiPriority w:val="99"/>
    <w:qFormat/>
    <w:tblPr>
      <w:tblBorders>
        <w:bottom w:val="single" w:sz="4" w:space="0" w:color="F79646" w:themeColor="accent6"/>
        <w:insideH w:val="single" w:sz="4" w:space="0" w:color="F79646" w:themeColor="accent6"/>
        <w:insideV w:val="single" w:sz="4" w:space="0" w:color="F79646" w:themeColor="accent6"/>
      </w:tblBorders>
    </w:tblPr>
    <w:tblStylePr w:type="firstRow">
      <w:pPr>
        <w:snapToGrid/>
      </w:pPr>
      <w:rPr>
        <w:b/>
        <w:color w:val="404040"/>
      </w:rPr>
      <w:tblPr/>
      <w:tcPr>
        <w:tcBorders>
          <w:top w:val="nil"/>
          <w:left w:val="nil"/>
          <w:bottom w:val="single" w:sz="12" w:space="0" w:color="F79646" w:themeColor="accent6"/>
          <w:right w:val="nil"/>
        </w:tcBorders>
        <w:shd w:val="clear" w:color="FFFFFF" w:fill="FFFFFF"/>
      </w:tcPr>
    </w:tblStylePr>
    <w:tblStylePr w:type="lastRow">
      <w:pPr>
        <w:snapToGrid/>
      </w:pPr>
      <w:rPr>
        <w:b/>
        <w:color w:val="404040"/>
      </w:rPr>
      <w:tblPr/>
      <w:tcPr>
        <w:tcBorders>
          <w:top w:val="single" w:sz="4" w:space="0" w:color="F79646" w:themeColor="accent6"/>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DE9D8"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DE9D8"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2">
    <w:name w:val="网格表 31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1"/>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DAE5F1"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DAE5F1"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1"/>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2DCDC"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2DCDC"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1"/>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EAF1DC"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EAF1DC"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1"/>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E5DFEC"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E5DFEC"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1"/>
    <w:uiPriority w:val="99"/>
    <w:qFormat/>
    <w:tblPr>
      <w:tblBorders>
        <w:bottom w:val="single" w:sz="4" w:space="0" w:color="4BACC6" w:themeColor="accent5"/>
        <w:insideH w:val="single" w:sz="4" w:space="0" w:color="4BACC6" w:themeColor="accent5"/>
        <w:insideV w:val="single" w:sz="4" w:space="0" w:color="4BACC6" w:themeColor="accent5"/>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DAEEF3"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DAEEF3"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1"/>
    <w:uiPriority w:val="99"/>
    <w:qFormat/>
    <w:tblPr>
      <w:tblBorders>
        <w:bottom w:val="single" w:sz="4" w:space="0" w:color="F79646" w:themeColor="accent6"/>
        <w:insideH w:val="single" w:sz="4" w:space="0" w:color="F79646" w:themeColor="accent6"/>
        <w:insideV w:val="single" w:sz="4" w:space="0" w:color="F79646" w:themeColor="accent6"/>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DE9D8"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DE9D8"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2">
    <w:name w:val="网格表 411"/>
    <w:basedOn w:val="a1"/>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1"/>
    <w:uiPriority w:val="5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pPr>
        <w:snapToGrid/>
      </w:pPr>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fill="5D8AC2" w:themeFill="accent1" w:themeFillTint="EA"/>
      </w:tcPr>
    </w:tblStylePr>
    <w:tblStylePr w:type="lastRow">
      <w:pPr>
        <w:snapToGrid/>
      </w:pPr>
      <w:rPr>
        <w:b/>
        <w:color w:val="404040"/>
      </w:rPr>
      <w:tblPr/>
      <w:tcPr>
        <w:tcBorders>
          <w:top w:val="single" w:sz="4" w:space="0" w:color="5D8AC2"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CE6F2" w:fill="DCE6F2" w:themeFill="accent1" w:themeFillTint="32"/>
      </w:tcPr>
    </w:tblStylePr>
    <w:tblStylePr w:type="band2Vert">
      <w:pPr>
        <w:snapToGrid/>
      </w:pPr>
    </w:tblStylePr>
    <w:tblStylePr w:type="band1Horz">
      <w:pPr>
        <w:snapToGrid/>
      </w:pPr>
      <w:rPr>
        <w:rFonts w:ascii="Arial" w:hAnsi="Arial"/>
        <w:color w:val="404040"/>
        <w:sz w:val="22"/>
      </w:rPr>
      <w:tblPr/>
      <w:tcPr>
        <w:shd w:val="clear" w:color="DCE6F2" w:fill="DCE6F2"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1"/>
    <w:uiPriority w:val="5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pPr>
        <w:snapToGrid/>
      </w:pPr>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fill="D99695" w:themeFill="accent2" w:themeFillTint="97"/>
      </w:tcPr>
    </w:tblStylePr>
    <w:tblStylePr w:type="lastRow">
      <w:pPr>
        <w:snapToGrid/>
      </w:pPr>
      <w:rPr>
        <w:b/>
        <w:color w:val="404040"/>
      </w:rPr>
      <w:tblPr/>
      <w:tcPr>
        <w:tcBorders>
          <w:top w:val="single" w:sz="4" w:space="0" w:color="D99695"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2DCDC"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2DCDC"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1"/>
    <w:uiPriority w:val="5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pPr>
        <w:snapToGrid/>
      </w:pPr>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fill="9ABB59" w:themeFill="accent3" w:themeFillTint="FE"/>
      </w:tcPr>
    </w:tblStylePr>
    <w:tblStylePr w:type="lastRow">
      <w:pPr>
        <w:snapToGrid/>
      </w:pPr>
      <w:rPr>
        <w:b/>
        <w:color w:val="404040"/>
      </w:rPr>
      <w:tblPr/>
      <w:tcPr>
        <w:tcBorders>
          <w:top w:val="single" w:sz="4" w:space="0" w:color="9ABB59"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EAF1DC"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EAF1DC"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1"/>
    <w:uiPriority w:val="5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pPr>
        <w:snapToGrid/>
      </w:pPr>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fill="B2A1C6" w:themeFill="accent4" w:themeFillTint="9A"/>
      </w:tcPr>
    </w:tblStylePr>
    <w:tblStylePr w:type="lastRow">
      <w:pPr>
        <w:snapToGrid/>
      </w:pPr>
      <w:rPr>
        <w:b/>
        <w:color w:val="404040"/>
      </w:rPr>
      <w:tblPr/>
      <w:tcPr>
        <w:tcBorders>
          <w:top w:val="single" w:sz="4" w:space="0" w:color="B2A1C6"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E5DFEC"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E5DFEC"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1"/>
    <w:uiPriority w:val="5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pPr>
        <w:snapToGrid/>
      </w:pPr>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pPr>
        <w:snapToGrid/>
      </w:pPr>
      <w:rPr>
        <w:b/>
        <w:color w:val="404040"/>
      </w:rPr>
      <w:tblPr/>
      <w:tcPr>
        <w:tcBorders>
          <w:top w:val="single" w:sz="4" w:space="0" w:color="4BACC6"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AEEF3"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DAEEF3"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1"/>
    <w:uiPriority w:val="5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pPr>
        <w:snapToGrid/>
      </w:pPr>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pPr>
        <w:snapToGrid/>
      </w:pPr>
      <w:rPr>
        <w:b/>
        <w:color w:val="404040"/>
      </w:rPr>
      <w:tblPr/>
      <w:tcPr>
        <w:tcBorders>
          <w:top w:val="single" w:sz="4" w:space="0" w:color="F79646"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DE9D8"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DE9D8"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2">
    <w:name w:val="网格表 5 深色1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000000"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000000" w:fill="000000" w:themeFill="text1"/>
      </w:tcPr>
    </w:tblStylePr>
    <w:tblStylePr w:type="firstCol">
      <w:pPr>
        <w:snapToGrid/>
      </w:pPr>
      <w:rPr>
        <w:rFonts w:ascii="Arial" w:hAnsi="Arial"/>
        <w:b/>
        <w:color w:val="FFFFFF"/>
        <w:sz w:val="22"/>
      </w:rPr>
      <w:tblPr/>
      <w:tcPr>
        <w:shd w:val="clear" w:color="000000" w:fill="000000" w:themeFill="text1"/>
      </w:tcPr>
    </w:tblStylePr>
    <w:tblStylePr w:type="lastCol">
      <w:pPr>
        <w:snapToGrid/>
      </w:pPr>
      <w:rPr>
        <w:rFonts w:ascii="Arial" w:hAnsi="Arial"/>
        <w:b/>
        <w:color w:val="FFFFFF"/>
        <w:sz w:val="22"/>
      </w:rPr>
      <w:tblPr/>
      <w:tcPr>
        <w:shd w:val="clear" w:color="000000" w:fill="000000" w:themeFill="text1"/>
      </w:tcPr>
    </w:tblStylePr>
    <w:tblStylePr w:type="band1Vert">
      <w:pPr>
        <w:snapToGrid/>
      </w:pPr>
      <w:tblPr/>
      <w:tcPr>
        <w:shd w:val="clear" w:color="8A8A8A" w:fill="8A8A8A" w:themeFill="text1" w:themeFillTint="75"/>
      </w:tcPr>
    </w:tblStylePr>
    <w:tblStylePr w:type="band2Vert">
      <w:pPr>
        <w:snapToGrid/>
      </w:pPr>
    </w:tblStylePr>
    <w:tblStylePr w:type="band1Horz">
      <w:pPr>
        <w:snapToGrid/>
      </w:pPr>
      <w:tblPr/>
      <w:tcPr>
        <w:shd w:val="clear" w:color="8A8A8A"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4F81BD" w:fill="4F81BD" w:themeFill="accent1"/>
      </w:tcPr>
    </w:tblStylePr>
    <w:tblStylePr w:type="lastRow">
      <w:pPr>
        <w:snapToGrid/>
      </w:pPr>
      <w:rPr>
        <w:rFonts w:ascii="Arial" w:hAnsi="Arial"/>
        <w:b/>
        <w:color w:val="FFFFFF"/>
        <w:sz w:val="22"/>
      </w:rPr>
      <w:tblPr/>
      <w:tcPr>
        <w:tcBorders>
          <w:top w:val="single" w:sz="4" w:space="0" w:color="FFFFFF" w:themeColor="light1"/>
        </w:tcBorders>
        <w:shd w:val="clear" w:color="4F81BD" w:fill="4F81BD" w:themeFill="accent1"/>
      </w:tcPr>
    </w:tblStylePr>
    <w:tblStylePr w:type="firstCol">
      <w:pPr>
        <w:snapToGrid/>
      </w:pPr>
      <w:rPr>
        <w:rFonts w:ascii="Arial" w:hAnsi="Arial"/>
        <w:b/>
        <w:color w:val="FFFFFF"/>
        <w:sz w:val="22"/>
      </w:rPr>
      <w:tblPr/>
      <w:tcPr>
        <w:shd w:val="clear" w:color="4F81BD" w:fill="4F81BD" w:themeFill="accent1"/>
      </w:tcPr>
    </w:tblStylePr>
    <w:tblStylePr w:type="lastCol">
      <w:pPr>
        <w:snapToGrid/>
      </w:pPr>
      <w:rPr>
        <w:rFonts w:ascii="Arial" w:hAnsi="Arial"/>
        <w:b/>
        <w:color w:val="FFFFFF"/>
        <w:sz w:val="22"/>
      </w:rPr>
      <w:tblPr/>
      <w:tcPr>
        <w:shd w:val="clear" w:color="4F81BD" w:fill="4F81BD" w:themeFill="accent1"/>
      </w:tcPr>
    </w:tblStylePr>
    <w:tblStylePr w:type="band1Vert">
      <w:pPr>
        <w:snapToGrid/>
      </w:pPr>
      <w:tblPr/>
      <w:tcPr>
        <w:shd w:val="clear" w:color="AEC4E0" w:fill="AEC4E0" w:themeFill="accent1" w:themeFillTint="75"/>
      </w:tcPr>
    </w:tblStylePr>
    <w:tblStylePr w:type="band2Vert">
      <w:pPr>
        <w:snapToGrid/>
      </w:pPr>
    </w:tblStylePr>
    <w:tblStylePr w:type="band1Horz">
      <w:pPr>
        <w:snapToGrid/>
      </w:pPr>
      <w:tblPr/>
      <w:tcPr>
        <w:shd w:val="clear" w:color="AEC4E0" w:fill="AEC4E0"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C0504D" w:fill="C0504D" w:themeFill="accent2"/>
      </w:tcPr>
    </w:tblStylePr>
    <w:tblStylePr w:type="lastRow">
      <w:pPr>
        <w:snapToGrid/>
      </w:pPr>
      <w:rPr>
        <w:rFonts w:ascii="Arial" w:hAnsi="Arial"/>
        <w:b/>
        <w:color w:val="FFFFFF"/>
        <w:sz w:val="22"/>
      </w:rPr>
      <w:tblPr/>
      <w:tcPr>
        <w:tcBorders>
          <w:top w:val="single" w:sz="4" w:space="0" w:color="FFFFFF" w:themeColor="light1"/>
        </w:tcBorders>
        <w:shd w:val="clear" w:color="C0504D" w:fill="C0504D" w:themeFill="accent2"/>
      </w:tcPr>
    </w:tblStylePr>
    <w:tblStylePr w:type="firstCol">
      <w:pPr>
        <w:snapToGrid/>
      </w:pPr>
      <w:rPr>
        <w:rFonts w:ascii="Arial" w:hAnsi="Arial"/>
        <w:b/>
        <w:color w:val="FFFFFF"/>
        <w:sz w:val="22"/>
      </w:rPr>
      <w:tblPr/>
      <w:tcPr>
        <w:shd w:val="clear" w:color="C0504D" w:fill="C0504D" w:themeFill="accent2"/>
      </w:tcPr>
    </w:tblStylePr>
    <w:tblStylePr w:type="lastCol">
      <w:pPr>
        <w:snapToGrid/>
      </w:pPr>
      <w:rPr>
        <w:rFonts w:ascii="Arial" w:hAnsi="Arial"/>
        <w:b/>
        <w:color w:val="FFFFFF"/>
        <w:sz w:val="22"/>
      </w:rPr>
      <w:tblPr/>
      <w:tcPr>
        <w:shd w:val="clear" w:color="C0504D" w:fill="C0504D" w:themeFill="accent2"/>
      </w:tcPr>
    </w:tblStylePr>
    <w:tblStylePr w:type="band1Vert">
      <w:pPr>
        <w:snapToGrid/>
      </w:pPr>
      <w:tblPr/>
      <w:tcPr>
        <w:shd w:val="clear" w:color="E2AEAD" w:fill="E2AEAD" w:themeFill="accent2" w:themeFillTint="75"/>
      </w:tcPr>
    </w:tblStylePr>
    <w:tblStylePr w:type="band2Vert">
      <w:pPr>
        <w:snapToGrid/>
      </w:pPr>
    </w:tblStylePr>
    <w:tblStylePr w:type="band1Horz">
      <w:pPr>
        <w:snapToGrid/>
      </w:pPr>
      <w:tblPr/>
      <w:tcPr>
        <w:shd w:val="clear" w:color="E2AEAD" w:fill="E2AEAD"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9BBB59" w:fill="9BBB59" w:themeFill="accent3"/>
      </w:tcPr>
    </w:tblStylePr>
    <w:tblStylePr w:type="lastRow">
      <w:pPr>
        <w:snapToGrid/>
      </w:pPr>
      <w:rPr>
        <w:rFonts w:ascii="Arial" w:hAnsi="Arial"/>
        <w:b/>
        <w:color w:val="FFFFFF"/>
        <w:sz w:val="22"/>
      </w:rPr>
      <w:tblPr/>
      <w:tcPr>
        <w:tcBorders>
          <w:top w:val="single" w:sz="4" w:space="0" w:color="FFFFFF" w:themeColor="light1"/>
        </w:tcBorders>
        <w:shd w:val="clear" w:color="9BBB59" w:fill="9BBB59" w:themeFill="accent3"/>
      </w:tcPr>
    </w:tblStylePr>
    <w:tblStylePr w:type="firstCol">
      <w:pPr>
        <w:snapToGrid/>
      </w:pPr>
      <w:rPr>
        <w:rFonts w:ascii="Arial" w:hAnsi="Arial"/>
        <w:b/>
        <w:color w:val="FFFFFF"/>
        <w:sz w:val="22"/>
      </w:rPr>
      <w:tblPr/>
      <w:tcPr>
        <w:shd w:val="clear" w:color="9BBB59" w:fill="9BBB59" w:themeFill="accent3"/>
      </w:tcPr>
    </w:tblStylePr>
    <w:tblStylePr w:type="lastCol">
      <w:pPr>
        <w:snapToGrid/>
      </w:pPr>
      <w:rPr>
        <w:rFonts w:ascii="Arial" w:hAnsi="Arial"/>
        <w:b/>
        <w:color w:val="FFFFFF"/>
        <w:sz w:val="22"/>
      </w:rPr>
      <w:tblPr/>
      <w:tcPr>
        <w:shd w:val="clear" w:color="9BBB59" w:fill="9BBB59" w:themeFill="accent3"/>
      </w:tcPr>
    </w:tblStylePr>
    <w:tblStylePr w:type="band1Vert">
      <w:pPr>
        <w:snapToGrid/>
      </w:pPr>
      <w:tblPr/>
      <w:tcPr>
        <w:shd w:val="clear" w:color="D0DFB2" w:fill="D0DFB2" w:themeFill="accent3" w:themeFillTint="75"/>
      </w:tcPr>
    </w:tblStylePr>
    <w:tblStylePr w:type="band2Vert">
      <w:pPr>
        <w:snapToGrid/>
      </w:pPr>
    </w:tblStylePr>
    <w:tblStylePr w:type="band1Horz">
      <w:pPr>
        <w:snapToGrid/>
      </w:pPr>
      <w:tblPr/>
      <w:tcPr>
        <w:shd w:val="clear" w:color="D0DFB2" w:fill="D0DFB2"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8064A2" w:fill="8064A2" w:themeFill="accent4"/>
      </w:tcPr>
    </w:tblStylePr>
    <w:tblStylePr w:type="lastRow">
      <w:pPr>
        <w:snapToGrid/>
      </w:pPr>
      <w:rPr>
        <w:rFonts w:ascii="Arial" w:hAnsi="Arial"/>
        <w:b/>
        <w:color w:val="FFFFFF"/>
        <w:sz w:val="22"/>
      </w:rPr>
      <w:tblPr/>
      <w:tcPr>
        <w:tcBorders>
          <w:top w:val="single" w:sz="4" w:space="0" w:color="FFFFFF" w:themeColor="light1"/>
        </w:tcBorders>
        <w:shd w:val="clear" w:color="8064A2" w:fill="8064A2" w:themeFill="accent4"/>
      </w:tcPr>
    </w:tblStylePr>
    <w:tblStylePr w:type="firstCol">
      <w:pPr>
        <w:snapToGrid/>
      </w:pPr>
      <w:rPr>
        <w:rFonts w:ascii="Arial" w:hAnsi="Arial"/>
        <w:b/>
        <w:color w:val="FFFFFF"/>
        <w:sz w:val="22"/>
      </w:rPr>
      <w:tblPr/>
      <w:tcPr>
        <w:shd w:val="clear" w:color="8064A2" w:fill="8064A2" w:themeFill="accent4"/>
      </w:tcPr>
    </w:tblStylePr>
    <w:tblStylePr w:type="lastCol">
      <w:pPr>
        <w:snapToGrid/>
      </w:pPr>
      <w:rPr>
        <w:rFonts w:ascii="Arial" w:hAnsi="Arial"/>
        <w:b/>
        <w:color w:val="FFFFFF"/>
        <w:sz w:val="22"/>
      </w:rPr>
      <w:tblPr/>
      <w:tcPr>
        <w:shd w:val="clear" w:color="8064A2" w:fill="8064A2" w:themeFill="accent4"/>
      </w:tcPr>
    </w:tblStylePr>
    <w:tblStylePr w:type="band1Vert">
      <w:pPr>
        <w:snapToGrid/>
      </w:pPr>
      <w:tblPr/>
      <w:tcPr>
        <w:shd w:val="clear" w:color="C4B7D4" w:fill="C4B7D4" w:themeFill="accent4" w:themeFillTint="75"/>
      </w:tcPr>
    </w:tblStylePr>
    <w:tblStylePr w:type="band2Vert">
      <w:pPr>
        <w:snapToGrid/>
      </w:pPr>
    </w:tblStylePr>
    <w:tblStylePr w:type="band1Horz">
      <w:pPr>
        <w:snapToGrid/>
      </w:pPr>
      <w:tblPr/>
      <w:tcPr>
        <w:shd w:val="clear" w:color="C4B7D4" w:fill="C4B7D4"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4BACC6" w:fill="4BACC6" w:themeFill="accent5"/>
      </w:tcPr>
    </w:tblStylePr>
    <w:tblStylePr w:type="lastRow">
      <w:pPr>
        <w:snapToGrid/>
      </w:pPr>
      <w:rPr>
        <w:rFonts w:ascii="Arial" w:hAnsi="Arial"/>
        <w:b/>
        <w:color w:val="FFFFFF"/>
        <w:sz w:val="22"/>
      </w:rPr>
      <w:tblPr/>
      <w:tcPr>
        <w:tcBorders>
          <w:top w:val="single" w:sz="4" w:space="0" w:color="FFFFFF" w:themeColor="light1"/>
        </w:tcBorders>
        <w:shd w:val="clear" w:color="4BACC6" w:fill="4BACC6" w:themeFill="accent5"/>
      </w:tcPr>
    </w:tblStylePr>
    <w:tblStylePr w:type="firstCol">
      <w:pPr>
        <w:snapToGrid/>
      </w:pPr>
      <w:rPr>
        <w:rFonts w:ascii="Arial" w:hAnsi="Arial"/>
        <w:b/>
        <w:color w:val="FFFFFF"/>
        <w:sz w:val="22"/>
      </w:rPr>
      <w:tblPr/>
      <w:tcPr>
        <w:shd w:val="clear" w:color="4BACC6" w:fill="4BACC6" w:themeFill="accent5"/>
      </w:tcPr>
    </w:tblStylePr>
    <w:tblStylePr w:type="lastCol">
      <w:pPr>
        <w:snapToGrid/>
      </w:pPr>
      <w:rPr>
        <w:rFonts w:ascii="Arial" w:hAnsi="Arial"/>
        <w:b/>
        <w:color w:val="FFFFFF"/>
        <w:sz w:val="22"/>
      </w:rPr>
      <w:tblPr/>
      <w:tcPr>
        <w:shd w:val="clear" w:color="4BACC6" w:fill="4BACC6" w:themeFill="accent5"/>
      </w:tcPr>
    </w:tblStylePr>
    <w:tblStylePr w:type="band1Vert">
      <w:pPr>
        <w:snapToGrid/>
      </w:pPr>
      <w:tblPr/>
      <w:tcPr>
        <w:shd w:val="clear" w:color="ACD8E4" w:fill="ACD8E4" w:themeFill="accent5" w:themeFillTint="75"/>
      </w:tcPr>
    </w:tblStylePr>
    <w:tblStylePr w:type="band2Vert">
      <w:pPr>
        <w:snapToGrid/>
      </w:pPr>
    </w:tblStylePr>
    <w:tblStylePr w:type="band1Horz">
      <w:pPr>
        <w:snapToGrid/>
      </w:pPr>
      <w:tblPr/>
      <w:tcPr>
        <w:shd w:val="clear" w:color="ACD8E4" w:fill="ACD8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F79646" w:fill="F79646" w:themeFill="accent6"/>
      </w:tcPr>
    </w:tblStylePr>
    <w:tblStylePr w:type="lastRow">
      <w:pPr>
        <w:snapToGrid/>
      </w:pPr>
      <w:rPr>
        <w:rFonts w:ascii="Arial" w:hAnsi="Arial"/>
        <w:b/>
        <w:color w:val="FFFFFF"/>
        <w:sz w:val="22"/>
      </w:rPr>
      <w:tblPr/>
      <w:tcPr>
        <w:tcBorders>
          <w:top w:val="single" w:sz="4" w:space="0" w:color="FFFFFF" w:themeColor="light1"/>
        </w:tcBorders>
        <w:shd w:val="clear" w:color="F79646" w:fill="F79646" w:themeFill="accent6"/>
      </w:tcPr>
    </w:tblStylePr>
    <w:tblStylePr w:type="firstCol">
      <w:pPr>
        <w:snapToGrid/>
      </w:pPr>
      <w:rPr>
        <w:rFonts w:ascii="Arial" w:hAnsi="Arial"/>
        <w:b/>
        <w:color w:val="FFFFFF"/>
        <w:sz w:val="22"/>
      </w:rPr>
      <w:tblPr/>
      <w:tcPr>
        <w:shd w:val="clear" w:color="F79646" w:fill="F79646" w:themeFill="accent6"/>
      </w:tcPr>
    </w:tblStylePr>
    <w:tblStylePr w:type="lastCol">
      <w:pPr>
        <w:snapToGrid/>
      </w:pPr>
      <w:rPr>
        <w:rFonts w:ascii="Arial" w:hAnsi="Arial"/>
        <w:b/>
        <w:color w:val="FFFFFF"/>
        <w:sz w:val="22"/>
      </w:rPr>
      <w:tblPr/>
      <w:tcPr>
        <w:shd w:val="clear" w:color="F79646" w:fill="F79646" w:themeFill="accent6"/>
      </w:tcPr>
    </w:tblStylePr>
    <w:tblStylePr w:type="band1Vert">
      <w:pPr>
        <w:snapToGrid/>
      </w:pPr>
      <w:tblPr/>
      <w:tcPr>
        <w:shd w:val="clear" w:color="FBCEAA" w:fill="FBCEAA" w:themeFill="accent6" w:themeFillTint="75"/>
      </w:tcPr>
    </w:tblStylePr>
    <w:tblStylePr w:type="band2Vert">
      <w:pPr>
        <w:snapToGrid/>
      </w:pPr>
    </w:tblStylePr>
    <w:tblStylePr w:type="band1Horz">
      <w:pPr>
        <w:snapToGrid/>
      </w:pPr>
      <w:tblPr/>
      <w:tcPr>
        <w:shd w:val="clear" w:color="FBCEAA" w:fill="FBCEAA"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11">
    <w:name w:val="网格表 6 彩色11"/>
    <w:basedOn w:val="a1"/>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rPr>
      <w:tblPr/>
      <w:tcPr>
        <w:tcBorders>
          <w:bottom w:val="single" w:sz="12" w:space="0" w:color="7F7F7F" w:themeColor="text1" w:themeTint="80"/>
        </w:tcBorders>
      </w:tcPr>
    </w:tblStylePr>
    <w:tblStylePr w:type="lastRow">
      <w:pPr>
        <w:snapToGrid/>
      </w:pPr>
      <w:rPr>
        <w:b/>
        <w:color w:val="7F7F7F" w:themeColor="text1" w:themeTint="80"/>
      </w:rPr>
    </w:tblStylePr>
    <w:tblStylePr w:type="firstCol">
      <w:pPr>
        <w:snapToGrid/>
      </w:pPr>
      <w:rPr>
        <w:b/>
        <w:color w:val="7F7F7F" w:themeColor="text1" w:themeTint="80"/>
      </w:rPr>
    </w:tblStylePr>
    <w:tblStylePr w:type="lastCol">
      <w:pPr>
        <w:snapToGrid/>
      </w:pPr>
      <w:rPr>
        <w:b/>
        <w:color w:val="7F7F7F" w:themeColor="text1" w:themeTint="80"/>
      </w:rPr>
    </w:tblStylePr>
    <w:tblStylePr w:type="band1Vert">
      <w:pPr>
        <w:snapToGrid/>
      </w:pPr>
      <w:tblPr/>
      <w:tcPr>
        <w:shd w:val="clear" w:color="CBCBCB" w:fill="CBCBCB" w:themeFill="text1" w:themeFillTint="34"/>
      </w:tcPr>
    </w:tblStylePr>
    <w:tblStylePr w:type="band2Vert">
      <w:pPr>
        <w:snapToGrid/>
      </w:pPr>
    </w:tblStylePr>
    <w:tblStylePr w:type="band1Horz">
      <w:pPr>
        <w:snapToGrid/>
      </w:pPr>
      <w:rPr>
        <w:rFonts w:ascii="Arial" w:hAnsi="Arial"/>
        <w:color w:val="7F7F7F" w:themeColor="text1" w:themeTint="80"/>
        <w:sz w:val="22"/>
      </w:rPr>
      <w:tblPr/>
      <w:tcPr>
        <w:shd w:val="clear" w:color="CBCBCB" w:fill="CBCBCB" w:themeFill="text1" w:themeFillTint="34"/>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1"/>
    <w:uiPriority w:val="99"/>
    <w:qFormat/>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pPr>
        <w:snapToGrid/>
      </w:pPr>
      <w:rPr>
        <w:b/>
        <w:color w:val="A6BFDD" w:themeColor="accent1" w:themeTint="80"/>
      </w:rPr>
      <w:tblPr/>
      <w:tcPr>
        <w:tcBorders>
          <w:bottom w:val="single" w:sz="12" w:space="0" w:color="A6BFDD" w:themeColor="accent1" w:themeTint="80"/>
        </w:tcBorders>
      </w:tcPr>
    </w:tblStylePr>
    <w:tblStylePr w:type="lastRow">
      <w:pPr>
        <w:snapToGrid/>
      </w:pPr>
      <w:rPr>
        <w:b/>
        <w:color w:val="A6BFDD" w:themeColor="accent1" w:themeTint="80"/>
      </w:rPr>
    </w:tblStylePr>
    <w:tblStylePr w:type="firstCol">
      <w:pPr>
        <w:snapToGrid/>
      </w:pPr>
      <w:rPr>
        <w:b/>
        <w:color w:val="A6BFDD" w:themeColor="accent1" w:themeTint="80"/>
      </w:rPr>
    </w:tblStylePr>
    <w:tblStylePr w:type="lastCol">
      <w:pPr>
        <w:snapToGrid/>
      </w:pPr>
      <w:rPr>
        <w:b/>
        <w:color w:val="A6BFDD" w:themeColor="accent1" w:themeTint="80"/>
      </w:rPr>
    </w:tblStylePr>
    <w:tblStylePr w:type="band1Vert">
      <w:pPr>
        <w:snapToGrid/>
      </w:pPr>
      <w:tblPr/>
      <w:tcPr>
        <w:shd w:val="clear" w:color="DAE5F1" w:fill="DAE5F1" w:themeFill="accent1" w:themeFillTint="34"/>
      </w:tcPr>
    </w:tblStylePr>
    <w:tblStylePr w:type="band2Vert">
      <w:pPr>
        <w:snapToGrid/>
      </w:pPr>
    </w:tblStylePr>
    <w:tblStylePr w:type="band1Horz">
      <w:pPr>
        <w:snapToGrid/>
      </w:pPr>
      <w:rPr>
        <w:rFonts w:ascii="Arial" w:hAnsi="Arial"/>
        <w:color w:val="A6BFDD" w:themeColor="accent1" w:themeTint="80"/>
        <w:sz w:val="22"/>
      </w:rPr>
      <w:tblPr/>
      <w:tcPr>
        <w:shd w:val="clear" w:color="DAE5F1" w:fill="DAE5F1" w:themeFill="accent1" w:themeFillTint="34"/>
      </w:tcPr>
    </w:tblStylePr>
    <w:tblStylePr w:type="band2Horz">
      <w:pPr>
        <w:snapToGrid/>
      </w:pPr>
      <w:rPr>
        <w:rFonts w:ascii="Arial" w:hAnsi="Arial"/>
        <w:color w:val="A6BFDD" w:themeColor="accen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1"/>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DA9796" w:themeColor="accent2" w:themeTint="96"/>
      </w:rPr>
      <w:tblPr/>
      <w:tcPr>
        <w:tcBorders>
          <w:bottom w:val="single" w:sz="12" w:space="0" w:color="D99695" w:themeColor="accent2" w:themeTint="97"/>
        </w:tcBorders>
      </w:tcPr>
    </w:tblStylePr>
    <w:tblStylePr w:type="lastRow">
      <w:pPr>
        <w:snapToGrid/>
      </w:pPr>
      <w:rPr>
        <w:b/>
        <w:color w:val="DA9796" w:themeColor="accent2" w:themeTint="96"/>
      </w:rPr>
    </w:tblStylePr>
    <w:tblStylePr w:type="firstCol">
      <w:pPr>
        <w:snapToGrid/>
      </w:pPr>
      <w:rPr>
        <w:b/>
        <w:color w:val="DA9796" w:themeColor="accent2" w:themeTint="96"/>
      </w:rPr>
    </w:tblStylePr>
    <w:tblStylePr w:type="lastCol">
      <w:pPr>
        <w:snapToGrid/>
      </w:pPr>
      <w:rPr>
        <w:b/>
        <w:color w:val="DA9796" w:themeColor="accent2" w:themeTint="96"/>
      </w:rPr>
    </w:tblStylePr>
    <w:tblStylePr w:type="band1Vert">
      <w:pPr>
        <w:snapToGrid/>
      </w:pPr>
      <w:tblPr/>
      <w:tcPr>
        <w:shd w:val="clear" w:color="F2DCDC" w:fill="F2DCDC" w:themeFill="accent2" w:themeFillTint="32"/>
      </w:tcPr>
    </w:tblStylePr>
    <w:tblStylePr w:type="band2Vert">
      <w:pPr>
        <w:snapToGrid/>
      </w:pPr>
    </w:tblStylePr>
    <w:tblStylePr w:type="band1Horz">
      <w:pPr>
        <w:snapToGrid/>
      </w:pPr>
      <w:rPr>
        <w:rFonts w:ascii="Arial" w:hAnsi="Arial"/>
        <w:color w:val="DA9796" w:themeColor="accent2" w:themeTint="96"/>
        <w:sz w:val="22"/>
      </w:rPr>
      <w:tblPr/>
      <w:tcPr>
        <w:shd w:val="clear" w:color="F2DCDC" w:fill="F2DCDC" w:themeFill="accent2" w:themeFillTint="32"/>
      </w:tcPr>
    </w:tblStylePr>
    <w:tblStylePr w:type="band2Horz">
      <w:pPr>
        <w:snapToGrid/>
      </w:pPr>
      <w:rPr>
        <w:rFonts w:ascii="Arial" w:hAnsi="Arial"/>
        <w:color w:val="DA9796"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1"/>
    <w:uiPriority w:val="99"/>
    <w:qFormat/>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9BBB59" w:themeColor="accent3"/>
      </w:rPr>
      <w:tblPr/>
      <w:tcPr>
        <w:tcBorders>
          <w:bottom w:val="single" w:sz="12" w:space="0" w:color="9ABB59" w:themeColor="accent3" w:themeTint="FE"/>
        </w:tcBorders>
      </w:tcPr>
    </w:tblStylePr>
    <w:tblStylePr w:type="lastRow">
      <w:pPr>
        <w:snapToGrid/>
      </w:pPr>
      <w:rPr>
        <w:b/>
        <w:color w:val="9BBB59" w:themeColor="accent3"/>
      </w:rPr>
    </w:tblStylePr>
    <w:tblStylePr w:type="firstCol">
      <w:pPr>
        <w:snapToGrid/>
      </w:pPr>
      <w:rPr>
        <w:b/>
        <w:color w:val="9BBB59" w:themeColor="accent3"/>
      </w:rPr>
    </w:tblStylePr>
    <w:tblStylePr w:type="lastCol">
      <w:pPr>
        <w:snapToGrid/>
      </w:pPr>
      <w:rPr>
        <w:b/>
        <w:color w:val="9BBB59" w:themeColor="accent3"/>
      </w:rPr>
    </w:tblStylePr>
    <w:tblStylePr w:type="band1Vert">
      <w:pPr>
        <w:snapToGrid/>
      </w:pPr>
      <w:tblPr/>
      <w:tcPr>
        <w:shd w:val="clear" w:color="EAF1DC" w:fill="EAF1DC" w:themeFill="accent3" w:themeFillTint="34"/>
      </w:tcPr>
    </w:tblStylePr>
    <w:tblStylePr w:type="band2Vert">
      <w:pPr>
        <w:snapToGrid/>
      </w:pPr>
    </w:tblStylePr>
    <w:tblStylePr w:type="band1Horz">
      <w:pPr>
        <w:snapToGrid/>
      </w:pPr>
      <w:rPr>
        <w:rFonts w:ascii="Arial" w:hAnsi="Arial"/>
        <w:color w:val="9BBB59" w:themeColor="accent3"/>
        <w:sz w:val="22"/>
      </w:rPr>
      <w:tblPr/>
      <w:tcPr>
        <w:shd w:val="clear" w:color="EAF1DC" w:fill="EAF1DC" w:themeFill="accent3" w:themeFillTint="34"/>
      </w:tcPr>
    </w:tblStylePr>
    <w:tblStylePr w:type="band2Horz">
      <w:pPr>
        <w:snapToGrid/>
      </w:pPr>
      <w:rPr>
        <w:rFonts w:ascii="Arial" w:hAnsi="Arial"/>
        <w:color w:val="9BBB59" w:themeColor="accent3"/>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1"/>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B2A1C7" w:themeColor="accent4" w:themeTint="99"/>
      </w:rPr>
      <w:tblPr/>
      <w:tcPr>
        <w:tcBorders>
          <w:bottom w:val="single" w:sz="12" w:space="0" w:color="B2A1C6" w:themeColor="accent4" w:themeTint="9A"/>
        </w:tcBorders>
      </w:tcPr>
    </w:tblStylePr>
    <w:tblStylePr w:type="lastRow">
      <w:pPr>
        <w:snapToGrid/>
      </w:pPr>
      <w:rPr>
        <w:b/>
        <w:color w:val="B2A1C7" w:themeColor="accent4" w:themeTint="99"/>
      </w:rPr>
    </w:tblStylePr>
    <w:tblStylePr w:type="firstCol">
      <w:pPr>
        <w:snapToGrid/>
      </w:pPr>
      <w:rPr>
        <w:b/>
        <w:color w:val="B2A1C7" w:themeColor="accent4" w:themeTint="99"/>
      </w:rPr>
    </w:tblStylePr>
    <w:tblStylePr w:type="lastCol">
      <w:pPr>
        <w:snapToGrid/>
      </w:pPr>
      <w:rPr>
        <w:b/>
        <w:color w:val="B2A1C7" w:themeColor="accent4" w:themeTint="99"/>
      </w:rPr>
    </w:tblStylePr>
    <w:tblStylePr w:type="band1Vert">
      <w:pPr>
        <w:snapToGrid/>
      </w:pPr>
      <w:tblPr/>
      <w:tcPr>
        <w:shd w:val="clear" w:color="E5DFEC" w:fill="E5DFEC" w:themeFill="accent4" w:themeFillTint="34"/>
      </w:tcPr>
    </w:tblStylePr>
    <w:tblStylePr w:type="band2Vert">
      <w:pPr>
        <w:snapToGrid/>
      </w:pPr>
    </w:tblStylePr>
    <w:tblStylePr w:type="band1Horz">
      <w:pPr>
        <w:snapToGrid/>
      </w:pPr>
      <w:rPr>
        <w:rFonts w:ascii="Arial" w:hAnsi="Arial"/>
        <w:color w:val="B2A1C7" w:themeColor="accent4" w:themeTint="99"/>
        <w:sz w:val="22"/>
      </w:rPr>
      <w:tblPr/>
      <w:tcPr>
        <w:shd w:val="clear" w:color="E5DFEC" w:fill="E5DFEC" w:themeFill="accent4" w:themeFillTint="34"/>
      </w:tcPr>
    </w:tblStylePr>
    <w:tblStylePr w:type="band2Horz">
      <w:pPr>
        <w:snapToGrid/>
      </w:pPr>
      <w:rPr>
        <w:rFonts w:ascii="Arial" w:hAnsi="Arial"/>
        <w:color w:val="B2A1C7"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1"/>
    <w:uiPriority w:val="99"/>
    <w:qFormat/>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pPr>
        <w:snapToGrid/>
      </w:pPr>
      <w:rPr>
        <w:b/>
        <w:color w:val="266678" w:themeColor="accent5" w:themeShade="94"/>
      </w:rPr>
      <w:tblPr/>
      <w:tcPr>
        <w:tcBorders>
          <w:bottom w:val="single" w:sz="12" w:space="0" w:color="4BACC6" w:themeColor="accent5"/>
        </w:tcBorders>
      </w:tcPr>
    </w:tblStylePr>
    <w:tblStylePr w:type="lastRow">
      <w:pPr>
        <w:snapToGrid/>
      </w:pPr>
      <w:rPr>
        <w:b/>
        <w:color w:val="266678" w:themeColor="accent5" w:themeShade="94"/>
      </w:rPr>
    </w:tblStylePr>
    <w:tblStylePr w:type="firstCol">
      <w:pPr>
        <w:snapToGrid/>
      </w:pPr>
      <w:rPr>
        <w:b/>
        <w:color w:val="266678" w:themeColor="accent5" w:themeShade="94"/>
      </w:rPr>
    </w:tblStylePr>
    <w:tblStylePr w:type="lastCol">
      <w:pPr>
        <w:snapToGrid/>
      </w:pPr>
      <w:rPr>
        <w:b/>
        <w:color w:val="266678" w:themeColor="accent5" w:themeShade="94"/>
      </w:rPr>
    </w:tblStylePr>
    <w:tblStylePr w:type="band1Vert">
      <w:pPr>
        <w:snapToGrid/>
      </w:pPr>
      <w:tblPr/>
      <w:tcPr>
        <w:shd w:val="clear" w:color="DAEEF3" w:fill="DAEEF3" w:themeFill="accent5" w:themeFillTint="34"/>
      </w:tcPr>
    </w:tblStylePr>
    <w:tblStylePr w:type="band2Vert">
      <w:pPr>
        <w:snapToGrid/>
      </w:pPr>
    </w:tblStylePr>
    <w:tblStylePr w:type="band1Horz">
      <w:pPr>
        <w:snapToGrid/>
      </w:pPr>
      <w:rPr>
        <w:rFonts w:ascii="Arial" w:hAnsi="Arial"/>
        <w:color w:val="266678" w:themeColor="accent5" w:themeShade="94"/>
        <w:sz w:val="22"/>
      </w:rPr>
      <w:tblPr/>
      <w:tcPr>
        <w:shd w:val="clear" w:color="DAEEF3" w:fill="DAEEF3" w:themeFill="accent5" w:themeFillTint="34"/>
      </w:tcPr>
    </w:tblStylePr>
    <w:tblStylePr w:type="band2Horz">
      <w:pPr>
        <w:snapToGrid/>
      </w:pPr>
      <w:rPr>
        <w:rFonts w:ascii="Arial" w:hAnsi="Arial"/>
        <w:color w:val="266678"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1"/>
    <w:uiPriority w:val="99"/>
    <w:qFormat/>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pPr>
        <w:snapToGrid/>
      </w:pPr>
      <w:rPr>
        <w:b/>
        <w:color w:val="266678" w:themeColor="accent5" w:themeShade="94"/>
      </w:rPr>
      <w:tblPr/>
      <w:tcPr>
        <w:tcBorders>
          <w:bottom w:val="single" w:sz="12" w:space="0" w:color="F79646" w:themeColor="accent6"/>
        </w:tcBorders>
      </w:tcPr>
    </w:tblStylePr>
    <w:tblStylePr w:type="lastRow">
      <w:pPr>
        <w:snapToGrid/>
      </w:pPr>
      <w:rPr>
        <w:b/>
        <w:color w:val="266678" w:themeColor="accent5" w:themeShade="94"/>
      </w:rPr>
    </w:tblStylePr>
    <w:tblStylePr w:type="firstCol">
      <w:pPr>
        <w:snapToGrid/>
      </w:pPr>
      <w:rPr>
        <w:b/>
        <w:color w:val="266678" w:themeColor="accent5" w:themeShade="94"/>
      </w:rPr>
    </w:tblStylePr>
    <w:tblStylePr w:type="lastCol">
      <w:pPr>
        <w:snapToGrid/>
      </w:pPr>
      <w:rPr>
        <w:b/>
        <w:color w:val="266678" w:themeColor="accent5" w:themeShade="94"/>
      </w:rPr>
    </w:tblStylePr>
    <w:tblStylePr w:type="band1Vert">
      <w:pPr>
        <w:snapToGrid/>
      </w:pPr>
      <w:tblPr/>
      <w:tcPr>
        <w:shd w:val="clear" w:color="FDE9D8" w:fill="FDE9D8" w:themeFill="accent6" w:themeFillTint="34"/>
      </w:tcPr>
    </w:tblStylePr>
    <w:tblStylePr w:type="band2Vert">
      <w:pPr>
        <w:snapToGrid/>
      </w:pPr>
    </w:tblStylePr>
    <w:tblStylePr w:type="band1Horz">
      <w:pPr>
        <w:snapToGrid/>
      </w:pPr>
      <w:rPr>
        <w:rFonts w:ascii="Arial" w:hAnsi="Arial"/>
        <w:color w:val="266678" w:themeColor="accent5" w:themeShade="94"/>
        <w:sz w:val="22"/>
      </w:rPr>
      <w:tblPr/>
      <w:tcPr>
        <w:shd w:val="clear" w:color="FDE9D8" w:fill="FDE9D8" w:themeFill="accent6" w:themeFillTint="34"/>
      </w:tcPr>
    </w:tblStylePr>
    <w:tblStylePr w:type="band2Horz">
      <w:pPr>
        <w:snapToGrid/>
      </w:pPr>
      <w:rPr>
        <w:rFonts w:ascii="Arial" w:hAnsi="Arial"/>
        <w:color w:val="266678"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11">
    <w:name w:val="网格表 7 彩色11"/>
    <w:basedOn w:val="a1"/>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F2F2F2" w:fill="F2F2F2" w:themeFill="text1" w:themeFillTint="0D"/>
      </w:tcPr>
    </w:tblStylePr>
    <w:tblStylePr w:type="band2Vert">
      <w:pPr>
        <w:snapToGrid/>
      </w:pPr>
    </w:tblStylePr>
    <w:tblStylePr w:type="band1Horz">
      <w:pPr>
        <w:snapToGrid/>
      </w:pPr>
      <w:rPr>
        <w:rFonts w:ascii="Arial" w:hAnsi="Arial"/>
        <w:color w:val="7F7F7F" w:themeColor="text1" w:themeTint="80"/>
        <w:sz w:val="22"/>
      </w:rPr>
      <w:tblPr/>
      <w:tcPr>
        <w:shd w:val="clear" w:color="F2F2F2" w:fill="F2F2F2" w:themeFill="text1" w:themeFillTint="0D"/>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1"/>
    <w:uiPriority w:val="99"/>
    <w:qFormat/>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pPr>
        <w:snapToGrid/>
      </w:pPr>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fill="FFFFFF" w:themeFill="light1"/>
      </w:tcPr>
    </w:tblStylePr>
    <w:tblStylePr w:type="lastRow">
      <w:pPr>
        <w:snapToGrid/>
      </w:pPr>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fill="FFFFFF" w:themeFill="light1"/>
      </w:tcPr>
    </w:tblStylePr>
    <w:tblStylePr w:type="firstCol">
      <w:pPr>
        <w:snapToGrid/>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FFFFFF"/>
      </w:tcPr>
    </w:tblStylePr>
    <w:tblStylePr w:type="lastCol">
      <w:pPr>
        <w:snapToGrid/>
      </w:pPr>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FFFFFF"/>
      </w:tcPr>
    </w:tblStylePr>
    <w:tblStylePr w:type="band1Vert">
      <w:pPr>
        <w:snapToGrid/>
      </w:pPr>
      <w:tblPr/>
      <w:tcPr>
        <w:shd w:val="clear" w:color="DAE5F1" w:fill="DAE5F1" w:themeFill="accent1" w:themeFillTint="34"/>
      </w:tcPr>
    </w:tblStylePr>
    <w:tblStylePr w:type="band2Vert">
      <w:pPr>
        <w:snapToGrid/>
      </w:pPr>
    </w:tblStylePr>
    <w:tblStylePr w:type="band1Horz">
      <w:pPr>
        <w:snapToGrid/>
      </w:pPr>
      <w:rPr>
        <w:rFonts w:ascii="Arial" w:hAnsi="Arial"/>
        <w:color w:val="A6BFDD" w:themeColor="accent1" w:themeTint="80"/>
        <w:sz w:val="22"/>
      </w:rPr>
      <w:tblPr/>
      <w:tcPr>
        <w:shd w:val="clear" w:color="DAE5F1" w:fill="DAE5F1" w:themeFill="accent1" w:themeFillTint="34"/>
      </w:tcPr>
    </w:tblStylePr>
    <w:tblStylePr w:type="band2Horz">
      <w:pPr>
        <w:snapToGrid/>
      </w:pPr>
      <w:rPr>
        <w:rFonts w:ascii="Arial" w:hAnsi="Arial"/>
        <w:color w:val="A6BFDD" w:themeColor="accen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1"/>
    <w:uiPriority w:val="99"/>
    <w:qFormat/>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fill="FFFFFF" w:themeFill="light1"/>
      </w:tcPr>
    </w:tblStylePr>
    <w:tblStylePr w:type="lastRow">
      <w:pPr>
        <w:snapToGrid/>
      </w:pPr>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fill="FFFFFF" w:themeFill="light1"/>
      </w:tcPr>
    </w:tblStylePr>
    <w:tblStylePr w:type="firstCol">
      <w:pPr>
        <w:snapToGrid/>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FFFFFF"/>
      </w:tcPr>
    </w:tblStylePr>
    <w:tblStylePr w:type="lastCol">
      <w:pPr>
        <w:snapToGrid/>
      </w:pPr>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FFFFFF"/>
      </w:tcPr>
    </w:tblStylePr>
    <w:tblStylePr w:type="band1Vert">
      <w:pPr>
        <w:snapToGrid/>
      </w:pPr>
      <w:tblPr/>
      <w:tcPr>
        <w:shd w:val="clear" w:color="F2DCDC" w:fill="F2DCDC" w:themeFill="accent2" w:themeFillTint="32"/>
      </w:tcPr>
    </w:tblStylePr>
    <w:tblStylePr w:type="band2Vert">
      <w:pPr>
        <w:snapToGrid/>
      </w:pPr>
    </w:tblStylePr>
    <w:tblStylePr w:type="band1Horz">
      <w:pPr>
        <w:snapToGrid/>
      </w:pPr>
      <w:rPr>
        <w:rFonts w:ascii="Arial" w:hAnsi="Arial"/>
        <w:color w:val="DA9796" w:themeColor="accent2" w:themeTint="96"/>
        <w:sz w:val="22"/>
      </w:rPr>
      <w:tblPr/>
      <w:tcPr>
        <w:shd w:val="clear" w:color="F2DCDC" w:fill="F2DCDC" w:themeFill="accent2" w:themeFillTint="32"/>
      </w:tcPr>
    </w:tblStylePr>
    <w:tblStylePr w:type="band2Horz">
      <w:pPr>
        <w:snapToGrid/>
      </w:pPr>
      <w:rPr>
        <w:rFonts w:ascii="Arial" w:hAnsi="Arial"/>
        <w:color w:val="DA9796"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1"/>
    <w:uiPriority w:val="99"/>
    <w:qFormat/>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rFonts w:ascii="Arial" w:hAnsi="Arial"/>
        <w:b/>
        <w:color w:val="9BBB59" w:themeColor="accent3"/>
        <w:sz w:val="22"/>
      </w:rPr>
      <w:tblPr/>
      <w:tcPr>
        <w:tcBorders>
          <w:top w:val="nil"/>
          <w:left w:val="nil"/>
          <w:bottom w:val="single" w:sz="4" w:space="0" w:color="9ABB59" w:themeColor="accent3" w:themeTint="FE"/>
          <w:right w:val="nil"/>
        </w:tcBorders>
        <w:shd w:val="clear" w:color="FFFFFF" w:fill="FFFFFF" w:themeFill="light1"/>
      </w:tcPr>
    </w:tblStylePr>
    <w:tblStylePr w:type="lastRow">
      <w:pPr>
        <w:snapToGrid/>
      </w:pPr>
      <w:rPr>
        <w:rFonts w:ascii="Arial" w:hAnsi="Arial"/>
        <w:b/>
        <w:color w:val="9BBB59" w:themeColor="accent3"/>
        <w:sz w:val="22"/>
      </w:rPr>
      <w:tblPr/>
      <w:tcPr>
        <w:tcBorders>
          <w:top w:val="single" w:sz="4" w:space="0" w:color="9ABB59" w:themeColor="accent3" w:themeTint="FE"/>
          <w:left w:val="nil"/>
          <w:bottom w:val="nil"/>
          <w:right w:val="nil"/>
        </w:tcBorders>
        <w:shd w:val="clear" w:color="FFFFFF" w:fill="FFFFFF" w:themeFill="light1"/>
      </w:tcPr>
    </w:tblStylePr>
    <w:tblStylePr w:type="firstCol">
      <w:pPr>
        <w:snapToGrid/>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FFFFFF"/>
      </w:tcPr>
    </w:tblStylePr>
    <w:tblStylePr w:type="lastCol">
      <w:pPr>
        <w:snapToGrid/>
      </w:pPr>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FFFFFF"/>
      </w:tcPr>
    </w:tblStylePr>
    <w:tblStylePr w:type="band1Vert">
      <w:pPr>
        <w:snapToGrid/>
      </w:pPr>
      <w:tblPr/>
      <w:tcPr>
        <w:shd w:val="clear" w:color="EAF1DC" w:fill="EAF1DC" w:themeFill="accent3" w:themeFillTint="34"/>
      </w:tcPr>
    </w:tblStylePr>
    <w:tblStylePr w:type="band2Vert">
      <w:pPr>
        <w:snapToGrid/>
      </w:pPr>
    </w:tblStylePr>
    <w:tblStylePr w:type="band1Horz">
      <w:pPr>
        <w:snapToGrid/>
      </w:pPr>
      <w:rPr>
        <w:rFonts w:ascii="Arial" w:hAnsi="Arial"/>
        <w:color w:val="9BBB59" w:themeColor="accent3"/>
        <w:sz w:val="22"/>
      </w:rPr>
      <w:tblPr/>
      <w:tcPr>
        <w:shd w:val="clear" w:color="EAF1DC" w:fill="EAF1DC" w:themeFill="accent3" w:themeFillTint="34"/>
      </w:tcPr>
    </w:tblStylePr>
    <w:tblStylePr w:type="band2Horz">
      <w:pPr>
        <w:snapToGrid/>
      </w:pPr>
      <w:rPr>
        <w:rFonts w:ascii="Arial" w:hAnsi="Arial"/>
        <w:color w:val="9BBB59" w:themeColor="accent3"/>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1"/>
    <w:uiPriority w:val="99"/>
    <w:qFormat/>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fill="FFFFFF" w:themeFill="light1"/>
      </w:tcPr>
    </w:tblStylePr>
    <w:tblStylePr w:type="lastRow">
      <w:pPr>
        <w:snapToGrid/>
      </w:pPr>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fill="FFFFFF" w:themeFill="light1"/>
      </w:tcPr>
    </w:tblStylePr>
    <w:tblStylePr w:type="firstCol">
      <w:pPr>
        <w:snapToGrid/>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FFFFFF"/>
      </w:tcPr>
    </w:tblStylePr>
    <w:tblStylePr w:type="lastCol">
      <w:pPr>
        <w:snapToGrid/>
      </w:pPr>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FFFFFF"/>
      </w:tcPr>
    </w:tblStylePr>
    <w:tblStylePr w:type="band1Vert">
      <w:pPr>
        <w:snapToGrid/>
      </w:pPr>
      <w:tblPr/>
      <w:tcPr>
        <w:shd w:val="clear" w:color="E5DFEC" w:fill="E5DFEC" w:themeFill="accent4" w:themeFillTint="34"/>
      </w:tcPr>
    </w:tblStylePr>
    <w:tblStylePr w:type="band2Vert">
      <w:pPr>
        <w:snapToGrid/>
      </w:pPr>
    </w:tblStylePr>
    <w:tblStylePr w:type="band1Horz">
      <w:pPr>
        <w:snapToGrid/>
      </w:pPr>
      <w:rPr>
        <w:rFonts w:ascii="Arial" w:hAnsi="Arial"/>
        <w:color w:val="B2A1C7" w:themeColor="accent4" w:themeTint="99"/>
        <w:sz w:val="22"/>
      </w:rPr>
      <w:tblPr/>
      <w:tcPr>
        <w:shd w:val="clear" w:color="E5DFEC" w:fill="E5DFEC" w:themeFill="accent4" w:themeFillTint="34"/>
      </w:tcPr>
    </w:tblStylePr>
    <w:tblStylePr w:type="band2Horz">
      <w:pPr>
        <w:snapToGrid/>
      </w:pPr>
      <w:rPr>
        <w:rFonts w:ascii="Arial" w:hAnsi="Arial"/>
        <w:color w:val="B2A1C7"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1"/>
    <w:uiPriority w:val="99"/>
    <w:qFormat/>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pPr>
        <w:snapToGrid/>
      </w:pPr>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fill="FFFFFF" w:themeFill="light1"/>
      </w:tcPr>
    </w:tblStylePr>
    <w:tblStylePr w:type="lastRow">
      <w:pPr>
        <w:snapToGrid/>
      </w:pPr>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fill="FFFFFF" w:themeFill="light1"/>
      </w:tcPr>
    </w:tblStylePr>
    <w:tblStylePr w:type="firstCol">
      <w:pPr>
        <w:snapToGrid/>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FFFFFF"/>
      </w:tcPr>
    </w:tblStylePr>
    <w:tblStylePr w:type="lastCol">
      <w:pPr>
        <w:snapToGrid/>
      </w:pPr>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FFFFFF"/>
      </w:tcPr>
    </w:tblStylePr>
    <w:tblStylePr w:type="band1Vert">
      <w:pPr>
        <w:snapToGrid/>
      </w:pPr>
      <w:tblPr/>
      <w:tcPr>
        <w:shd w:val="clear" w:color="DAEEF3" w:fill="DAEEF3" w:themeFill="accent5" w:themeFillTint="34"/>
      </w:tcPr>
    </w:tblStylePr>
    <w:tblStylePr w:type="band2Vert">
      <w:pPr>
        <w:snapToGrid/>
      </w:pPr>
    </w:tblStylePr>
    <w:tblStylePr w:type="band1Horz">
      <w:pPr>
        <w:snapToGrid/>
      </w:pPr>
      <w:rPr>
        <w:rFonts w:ascii="Arial" w:hAnsi="Arial"/>
        <w:color w:val="266678" w:themeColor="accent5" w:themeShade="94"/>
        <w:sz w:val="22"/>
      </w:rPr>
      <w:tblPr/>
      <w:tcPr>
        <w:shd w:val="clear" w:color="DAEEF3" w:fill="DAEEF3" w:themeFill="accent5" w:themeFillTint="34"/>
      </w:tcPr>
    </w:tblStylePr>
    <w:tblStylePr w:type="band2Horz">
      <w:pPr>
        <w:snapToGrid/>
      </w:pPr>
      <w:rPr>
        <w:rFonts w:ascii="Arial" w:hAnsi="Arial"/>
        <w:color w:val="266678"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1"/>
    <w:uiPriority w:val="99"/>
    <w:qFormat/>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pPr>
        <w:snapToGrid/>
      </w:pPr>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fill="FFFFFF" w:themeFill="light1"/>
      </w:tcPr>
    </w:tblStylePr>
    <w:tblStylePr w:type="lastRow">
      <w:pPr>
        <w:snapToGrid/>
      </w:pPr>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fill="FFFFFF" w:themeFill="light1"/>
      </w:tcPr>
    </w:tblStylePr>
    <w:tblStylePr w:type="firstCol">
      <w:pPr>
        <w:snapToGrid/>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FFFFFF"/>
      </w:tcPr>
    </w:tblStylePr>
    <w:tblStylePr w:type="lastCol">
      <w:pPr>
        <w:snapToGrid/>
      </w:pPr>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FFFFFF"/>
      </w:tcPr>
    </w:tblStylePr>
    <w:tblStylePr w:type="band1Vert">
      <w:pPr>
        <w:snapToGrid/>
      </w:pPr>
      <w:tblPr/>
      <w:tcPr>
        <w:shd w:val="clear" w:color="FDE9D8" w:fill="FDE9D8" w:themeFill="accent6" w:themeFillTint="34"/>
      </w:tcPr>
    </w:tblStylePr>
    <w:tblStylePr w:type="band2Vert">
      <w:pPr>
        <w:snapToGrid/>
      </w:pPr>
    </w:tblStylePr>
    <w:tblStylePr w:type="band1Horz">
      <w:pPr>
        <w:snapToGrid/>
      </w:pPr>
      <w:rPr>
        <w:rFonts w:ascii="Arial" w:hAnsi="Arial"/>
        <w:color w:val="B05307" w:themeColor="accent6" w:themeShade="94"/>
        <w:sz w:val="22"/>
      </w:rPr>
      <w:tblPr/>
      <w:tcPr>
        <w:shd w:val="clear" w:color="FDE9D8" w:fill="FDE9D8" w:themeFill="accent6" w:themeFillTint="34"/>
      </w:tcPr>
    </w:tblStylePr>
    <w:tblStylePr w:type="band2Horz">
      <w:pPr>
        <w:snapToGrid/>
      </w:pPr>
      <w:rPr>
        <w:rFonts w:ascii="Arial" w:hAnsi="Arial"/>
        <w:color w:val="B05307" w:themeColor="accent6"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3">
    <w:name w:val="清单表 1 浅色11"/>
    <w:basedOn w:val="a1"/>
    <w:uiPriority w:val="99"/>
    <w:qFormat/>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BFBFBF" w:fill="BFBFBF" w:themeFill="text1" w:themeFillTint="40"/>
      </w:tcPr>
    </w:tblStylePr>
    <w:tblStylePr w:type="band2Vert">
      <w:pPr>
        <w:snapToGrid/>
      </w:pPr>
    </w:tblStylePr>
    <w:tblStylePr w:type="band1Horz">
      <w:pPr>
        <w:snapToGrid/>
      </w:p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1"/>
    <w:uiPriority w:val="99"/>
    <w:qFormat/>
    <w:tblPr/>
    <w:tblStylePr w:type="firstRow">
      <w:pPr>
        <w:snapToGrid/>
      </w:pPr>
      <w:rPr>
        <w:b/>
        <w:color w:val="404040"/>
      </w:rPr>
      <w:tblPr/>
      <w:tcPr>
        <w:tcBorders>
          <w:top w:val="nil"/>
          <w:left w:val="nil"/>
          <w:bottom w:val="single" w:sz="4" w:space="0" w:color="4F81BD" w:themeColor="accent1"/>
          <w:right w:val="nil"/>
        </w:tcBorders>
      </w:tcPr>
    </w:tblStylePr>
    <w:tblStylePr w:type="lastRow">
      <w:pPr>
        <w:snapToGrid/>
      </w:pPr>
      <w:rPr>
        <w:b/>
        <w:color w:val="404040"/>
      </w:rPr>
      <w:tblPr/>
      <w:tcPr>
        <w:tcBorders>
          <w:top w:val="single" w:sz="4" w:space="0" w:color="4F81BD" w:themeColor="accen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D2DFEE" w:fill="D2DFEE" w:themeFill="accent1" w:themeFillTint="40"/>
      </w:tcPr>
    </w:tblStylePr>
    <w:tblStylePr w:type="band2Vert">
      <w:pPr>
        <w:snapToGrid/>
      </w:pPr>
    </w:tblStylePr>
    <w:tblStylePr w:type="band1Horz">
      <w:pPr>
        <w:snapToGrid/>
      </w:pPr>
      <w:tblPr/>
      <w:tcPr>
        <w:shd w:val="clear" w:color="D2DFEE"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1"/>
    <w:uiPriority w:val="99"/>
    <w:qFormat/>
    <w:tblPr/>
    <w:tblStylePr w:type="firstRow">
      <w:pPr>
        <w:snapToGrid/>
      </w:pPr>
      <w:rPr>
        <w:b/>
        <w:color w:val="404040"/>
      </w:rPr>
      <w:tblPr/>
      <w:tcPr>
        <w:tcBorders>
          <w:top w:val="nil"/>
          <w:left w:val="nil"/>
          <w:bottom w:val="single" w:sz="4" w:space="0" w:color="C0504D" w:themeColor="accent2"/>
          <w:right w:val="nil"/>
        </w:tcBorders>
      </w:tcPr>
    </w:tblStylePr>
    <w:tblStylePr w:type="lastRow">
      <w:pPr>
        <w:snapToGrid/>
      </w:pPr>
      <w:rPr>
        <w:b/>
        <w:color w:val="404040"/>
      </w:rPr>
      <w:tblPr/>
      <w:tcPr>
        <w:tcBorders>
          <w:top w:val="single" w:sz="4" w:space="0" w:color="C0504D" w:themeColor="accent2"/>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EFD2D2" w:fill="EFD2D2" w:themeFill="accent2" w:themeFillTint="40"/>
      </w:tcPr>
    </w:tblStylePr>
    <w:tblStylePr w:type="band2Vert">
      <w:pPr>
        <w:snapToGrid/>
      </w:pPr>
    </w:tblStylePr>
    <w:tblStylePr w:type="band1Horz">
      <w:pPr>
        <w:snapToGrid/>
      </w:pPr>
      <w:tblPr/>
      <w:tcPr>
        <w:shd w:val="clear" w:color="EFD2D2"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1"/>
    <w:uiPriority w:val="99"/>
    <w:qFormat/>
    <w:tblPr/>
    <w:tblStylePr w:type="firstRow">
      <w:pPr>
        <w:snapToGrid/>
      </w:pPr>
      <w:rPr>
        <w:b/>
        <w:color w:val="404040"/>
      </w:rPr>
      <w:tblPr/>
      <w:tcPr>
        <w:tcBorders>
          <w:top w:val="nil"/>
          <w:left w:val="nil"/>
          <w:bottom w:val="single" w:sz="4" w:space="0" w:color="9BBB59" w:themeColor="accent3"/>
          <w:right w:val="nil"/>
        </w:tcBorders>
      </w:tcPr>
    </w:tblStylePr>
    <w:tblStylePr w:type="lastRow">
      <w:pPr>
        <w:snapToGrid/>
      </w:pPr>
      <w:rPr>
        <w:b/>
        <w:color w:val="404040"/>
      </w:rPr>
      <w:tblPr/>
      <w:tcPr>
        <w:tcBorders>
          <w:top w:val="single" w:sz="4" w:space="0" w:color="9BBB59" w:themeColor="accent3"/>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E5EED5" w:fill="E5EED5" w:themeFill="accent3" w:themeFillTint="40"/>
      </w:tcPr>
    </w:tblStylePr>
    <w:tblStylePr w:type="band2Vert">
      <w:pPr>
        <w:snapToGrid/>
      </w:pPr>
    </w:tblStylePr>
    <w:tblStylePr w:type="band1Horz">
      <w:pPr>
        <w:snapToGrid/>
      </w:pPr>
      <w:tblPr/>
      <w:tcPr>
        <w:shd w:val="clear" w:color="E5EED5"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1"/>
    <w:uiPriority w:val="99"/>
    <w:qFormat/>
    <w:tblPr/>
    <w:tblStylePr w:type="firstRow">
      <w:pPr>
        <w:snapToGrid/>
      </w:pPr>
      <w:rPr>
        <w:b/>
        <w:color w:val="404040"/>
      </w:rPr>
      <w:tblPr/>
      <w:tcPr>
        <w:tcBorders>
          <w:top w:val="nil"/>
          <w:left w:val="nil"/>
          <w:bottom w:val="single" w:sz="4" w:space="0" w:color="8064A2" w:themeColor="accent4"/>
          <w:right w:val="nil"/>
        </w:tcBorders>
      </w:tcPr>
    </w:tblStylePr>
    <w:tblStylePr w:type="lastRow">
      <w:pPr>
        <w:snapToGrid/>
      </w:pPr>
      <w:rPr>
        <w:b/>
        <w:color w:val="404040"/>
      </w:rPr>
      <w:tblPr/>
      <w:tcPr>
        <w:tcBorders>
          <w:top w:val="single" w:sz="4" w:space="0" w:color="8064A2" w:themeColor="accent4"/>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DFD8E7" w:fill="DFD8E7" w:themeFill="accent4" w:themeFillTint="40"/>
      </w:tcPr>
    </w:tblStylePr>
    <w:tblStylePr w:type="band2Vert">
      <w:pPr>
        <w:snapToGrid/>
      </w:pPr>
    </w:tblStylePr>
    <w:tblStylePr w:type="band1Horz">
      <w:pPr>
        <w:snapToGrid/>
      </w:pPr>
      <w:tblPr/>
      <w:tcPr>
        <w:shd w:val="clear" w:color="DFD8E7"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1"/>
    <w:uiPriority w:val="99"/>
    <w:qFormat/>
    <w:tblPr/>
    <w:tblStylePr w:type="firstRow">
      <w:pPr>
        <w:snapToGrid/>
      </w:pPr>
      <w:rPr>
        <w:b/>
        <w:color w:val="404040"/>
      </w:rPr>
      <w:tblPr/>
      <w:tcPr>
        <w:tcBorders>
          <w:top w:val="nil"/>
          <w:left w:val="nil"/>
          <w:bottom w:val="single" w:sz="4" w:space="0" w:color="4BACC6" w:themeColor="accent5"/>
          <w:right w:val="nil"/>
        </w:tcBorders>
      </w:tcPr>
    </w:tblStylePr>
    <w:tblStylePr w:type="lastRow">
      <w:pPr>
        <w:snapToGrid/>
      </w:pPr>
      <w:rPr>
        <w:b/>
        <w:color w:val="404040"/>
      </w:rPr>
      <w:tblPr/>
      <w:tcPr>
        <w:tcBorders>
          <w:top w:val="single" w:sz="4" w:space="0" w:color="4BACC6" w:themeColor="accent5"/>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D1EAF0" w:fill="D1EAF0" w:themeFill="accent5" w:themeFillTint="40"/>
      </w:tcPr>
    </w:tblStylePr>
    <w:tblStylePr w:type="band2Vert">
      <w:pPr>
        <w:snapToGrid/>
      </w:pPr>
    </w:tblStylePr>
    <w:tblStylePr w:type="band1Horz">
      <w:pPr>
        <w:snapToGrid/>
      </w:pPr>
      <w:tblPr/>
      <w:tcPr>
        <w:shd w:val="clear" w:color="D1EAF0"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1"/>
    <w:uiPriority w:val="99"/>
    <w:qFormat/>
    <w:tblPr/>
    <w:tblStylePr w:type="firstRow">
      <w:pPr>
        <w:snapToGrid/>
      </w:pPr>
      <w:rPr>
        <w:b/>
        <w:color w:val="404040"/>
      </w:rPr>
      <w:tblPr/>
      <w:tcPr>
        <w:tcBorders>
          <w:top w:val="nil"/>
          <w:left w:val="nil"/>
          <w:bottom w:val="single" w:sz="4" w:space="0" w:color="F79646" w:themeColor="accent6"/>
          <w:right w:val="nil"/>
        </w:tcBorders>
      </w:tcPr>
    </w:tblStylePr>
    <w:tblStylePr w:type="lastRow">
      <w:pPr>
        <w:snapToGrid/>
      </w:pPr>
      <w:rPr>
        <w:b/>
        <w:color w:val="404040"/>
      </w:rPr>
      <w:tblPr/>
      <w:tcPr>
        <w:tcBorders>
          <w:top w:val="single" w:sz="4" w:space="0" w:color="F79646" w:themeColor="accent6"/>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DE4D0" w:fill="FDE4D0" w:themeFill="accent6" w:themeFillTint="40"/>
      </w:tcPr>
    </w:tblStylePr>
    <w:tblStylePr w:type="band2Vert">
      <w:pPr>
        <w:snapToGrid/>
      </w:pPr>
    </w:tblStylePr>
    <w:tblStylePr w:type="band1Horz">
      <w:pPr>
        <w:snapToGrid/>
      </w:pPr>
      <w:tblPr/>
      <w:tcPr>
        <w:shd w:val="clear" w:color="FDE4D0"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3">
    <w:name w:val="清单表 211"/>
    <w:basedOn w:val="a1"/>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BFBFB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1"/>
    <w:uiPriority w:val="99"/>
    <w:qFormat/>
    <w:tblPr>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pPr>
        <w:snapToGrid/>
      </w:pPr>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pPr>
        <w:snapToGrid/>
      </w:pPr>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D2DFEE"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D2DFEE"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1"/>
    <w:uiPriority w:val="99"/>
    <w:qFormat/>
    <w:tblPr>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pPr>
        <w:snapToGrid/>
      </w:pPr>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pPr>
        <w:snapToGrid/>
      </w:pPr>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EFD2D2"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EFD2D2"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1"/>
    <w:uiPriority w:val="99"/>
    <w:qFormat/>
    <w:tblPr>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pPr>
        <w:snapToGrid/>
      </w:pPr>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pPr>
        <w:snapToGrid/>
      </w:pPr>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E5EED5"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E5EED5"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1"/>
    <w:uiPriority w:val="99"/>
    <w:qFormat/>
    <w:tblPr>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pPr>
        <w:snapToGrid/>
      </w:pPr>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pPr>
        <w:snapToGrid/>
      </w:pPr>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DFD8E7"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DFD8E7"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1"/>
    <w:uiPriority w:val="99"/>
    <w:qFormat/>
    <w:tblPr>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pPr>
        <w:snapToGrid/>
      </w:pPr>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pPr>
        <w:snapToGrid/>
      </w:pPr>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D1EAF0"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D1EAF0"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1"/>
    <w:uiPriority w:val="99"/>
    <w:qFormat/>
    <w:tblPr>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pPr>
        <w:snapToGrid/>
      </w:pPr>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pPr>
        <w:snapToGrid/>
      </w:pPr>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DE4D0"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FDE4D0"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3">
    <w:name w:val="清单表 31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000000"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1"/>
    <w:uiPriority w:val="99"/>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pPr>
        <w:snapToGrid/>
      </w:pPr>
      <w:rPr>
        <w:rFonts w:ascii="Arial" w:hAnsi="Arial"/>
        <w:b/>
        <w:color w:val="FFFFFF"/>
        <w:sz w:val="22"/>
      </w:rPr>
      <w:tblPr/>
      <w:tcPr>
        <w:shd w:val="clear" w:color="4F81BD"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4F81BD" w:themeColor="accent1"/>
          <w:right w:val="single" w:sz="4" w:space="0" w:color="4F81BD"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4F81BD" w:themeColor="accent1"/>
          <w:bottom w:val="single" w:sz="4" w:space="0" w:color="4F81BD"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1"/>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pPr>
        <w:snapToGrid/>
      </w:pPr>
      <w:rPr>
        <w:rFonts w:ascii="Arial" w:hAnsi="Arial"/>
        <w:b/>
        <w:color w:val="FFFFFF"/>
        <w:sz w:val="22"/>
      </w:rPr>
      <w:tblPr/>
      <w:tcPr>
        <w:shd w:val="clear" w:color="D99695" w:fill="D99695"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D99695" w:themeColor="accent2" w:themeTint="97"/>
          <w:bottom w:val="single" w:sz="4" w:space="0" w:color="D99695"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1"/>
    <w:uiPriority w:val="99"/>
    <w:qFormat/>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pPr>
        <w:snapToGrid/>
      </w:pPr>
      <w:rPr>
        <w:rFonts w:ascii="Arial" w:hAnsi="Arial"/>
        <w:b/>
        <w:color w:val="FFFFFF"/>
        <w:sz w:val="22"/>
      </w:rPr>
      <w:tblPr/>
      <w:tcPr>
        <w:shd w:val="clear" w:color="C3D69B" w:fill="C3D69B"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3D69B" w:themeColor="accent3" w:themeTint="98"/>
          <w:bottom w:val="single" w:sz="4" w:space="0" w:color="C3D69B"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1"/>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pPr>
        <w:snapToGrid/>
      </w:pPr>
      <w:rPr>
        <w:rFonts w:ascii="Arial" w:hAnsi="Arial"/>
        <w:b/>
        <w:color w:val="FFFFFF"/>
        <w:sz w:val="22"/>
      </w:rPr>
      <w:tblPr/>
      <w:tcPr>
        <w:shd w:val="clear" w:color="B2A1C6" w:fill="B2A1C6"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B2A1C6" w:themeColor="accent4" w:themeTint="9A"/>
          <w:bottom w:val="single" w:sz="4" w:space="0" w:color="B2A1C6"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1"/>
    <w:uiPriority w:val="99"/>
    <w:qFormat/>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pPr>
        <w:snapToGrid/>
      </w:pPr>
      <w:rPr>
        <w:rFonts w:ascii="Arial" w:hAnsi="Arial"/>
        <w:b/>
        <w:color w:val="FFFFFF"/>
        <w:sz w:val="22"/>
      </w:rPr>
      <w:tblPr/>
      <w:tcPr>
        <w:shd w:val="clear" w:color="92CCDC" w:fill="92CCDC"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92CCDC" w:themeColor="accent5" w:themeTint="9A"/>
          <w:bottom w:val="single" w:sz="4" w:space="0" w:color="92CCDC"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1"/>
    <w:uiPriority w:val="99"/>
    <w:qFormat/>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pPr>
        <w:snapToGrid/>
      </w:pPr>
      <w:rPr>
        <w:rFonts w:ascii="Arial" w:hAnsi="Arial"/>
        <w:b/>
        <w:color w:val="FFFFFF"/>
        <w:sz w:val="22"/>
      </w:rPr>
      <w:tblPr/>
      <w:tcPr>
        <w:shd w:val="clear" w:color="FAC090" w:fill="FAC090"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FAC090" w:themeColor="accent6" w:themeTint="98"/>
          <w:bottom w:val="single" w:sz="4" w:space="0" w:color="FAC090"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3">
    <w:name w:val="清单表 41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000000"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BFBFB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1"/>
    <w:uiPriority w:val="9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pPr>
        <w:snapToGrid/>
      </w:pPr>
      <w:rPr>
        <w:rFonts w:ascii="Arial" w:hAnsi="Arial"/>
        <w:b/>
        <w:color w:val="FFFFFF"/>
        <w:sz w:val="22"/>
      </w:rPr>
      <w:tblPr/>
      <w:tcPr>
        <w:shd w:val="clear" w:color="4F81BD"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2DFEE"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D2DFEE"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1"/>
    <w:uiPriority w:val="9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pPr>
        <w:snapToGrid/>
      </w:pPr>
      <w:rPr>
        <w:rFonts w:ascii="Arial" w:hAnsi="Arial"/>
        <w:b/>
        <w:color w:val="FFFFFF"/>
        <w:sz w:val="22"/>
      </w:rPr>
      <w:tblPr/>
      <w:tcPr>
        <w:shd w:val="clear" w:color="C0504D" w:fill="C0504D"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EFD2D2"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EFD2D2"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1"/>
    <w:uiPriority w:val="9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pPr>
        <w:snapToGrid/>
      </w:pPr>
      <w:rPr>
        <w:rFonts w:ascii="Arial" w:hAnsi="Arial"/>
        <w:b/>
        <w:color w:val="FFFFFF"/>
        <w:sz w:val="22"/>
      </w:rPr>
      <w:tblPr/>
      <w:tcPr>
        <w:shd w:val="clear" w:color="9BBB59" w:fill="9BBB59"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E5EED5"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E5EED5"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1"/>
    <w:uiPriority w:val="9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pPr>
        <w:snapToGrid/>
      </w:pPr>
      <w:rPr>
        <w:rFonts w:ascii="Arial" w:hAnsi="Arial"/>
        <w:b/>
        <w:color w:val="FFFFFF"/>
        <w:sz w:val="22"/>
      </w:rPr>
      <w:tblPr/>
      <w:tcPr>
        <w:shd w:val="clear" w:color="8064A2" w:fill="8064A2"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FD8E7"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DFD8E7"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1"/>
    <w:uiPriority w:val="9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pPr>
        <w:snapToGrid/>
      </w:pPr>
      <w:rPr>
        <w:rFonts w:ascii="Arial" w:hAnsi="Arial"/>
        <w:b/>
        <w:color w:val="FFFFFF"/>
        <w:sz w:val="22"/>
      </w:rPr>
      <w:tblPr/>
      <w:tcPr>
        <w:shd w:val="clear" w:color="4BACC6" w:fill="4BACC6"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1EAF0"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D1EAF0"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1"/>
    <w:uiPriority w:val="9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pPr>
        <w:snapToGrid/>
      </w:pPr>
      <w:rPr>
        <w:rFonts w:ascii="Arial" w:hAnsi="Arial"/>
        <w:b/>
        <w:color w:val="FFFFFF"/>
        <w:sz w:val="22"/>
      </w:rPr>
      <w:tblPr/>
      <w:tcPr>
        <w:shd w:val="clear" w:color="F79646" w:fill="F79646"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DE4D0"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FDE4D0"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3">
    <w:name w:val="清单表 5 深色11"/>
    <w:basedOn w:val="a1"/>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7F7F7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7F7F7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7F7F7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1"/>
    <w:uiPriority w:val="99"/>
    <w:qFormat/>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pPr>
        <w:snapToGrid/>
      </w:pPr>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4F81BD" w:themeColor="accent1"/>
        </w:tcBorders>
      </w:tcPr>
    </w:tblStylePr>
    <w:tblStylePr w:type="band1Vert">
      <w:pPr>
        <w:snapToGrid/>
      </w:pPr>
      <w:tblPr/>
      <w:tcPr>
        <w:tcBorders>
          <w:left w:val="single" w:sz="4" w:space="0" w:color="FFFFFF" w:themeColor="light1"/>
          <w:right w:val="single" w:sz="4" w:space="0" w:color="FFFFFF" w:themeColor="light1"/>
        </w:tcBorders>
        <w:shd w:val="clear" w:color="4F81BD" w:fill="4F81BD"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4F81BD" w:fill="4F81BD" w:themeFill="accent1"/>
      </w:tcPr>
    </w:tblStylePr>
    <w:tblStylePr w:type="band2Horz">
      <w:pPr>
        <w:snapToGrid/>
      </w:pPr>
      <w:tblPr/>
      <w:tcPr>
        <w:tcBorders>
          <w:top w:val="single" w:sz="4" w:space="0" w:color="FFFFFF" w:themeColor="light1"/>
          <w:bottom w:val="single" w:sz="4" w:space="0" w:color="FFFFFF" w:themeColor="light1"/>
        </w:tcBorders>
        <w:shd w:val="clear" w:color="4F81BD" w:fill="4F81BD"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1"/>
    <w:uiPriority w:val="99"/>
    <w:qFormat/>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pPr>
        <w:snapToGrid/>
      </w:pPr>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fill="D99695"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D99695"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D99695" w:fill="D99695"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1"/>
    <w:uiPriority w:val="99"/>
    <w:qFormat/>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pPr>
        <w:snapToGrid/>
      </w:pPr>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fill="C3D69B"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3D69B"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C3D69B" w:fill="C3D69B"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1"/>
    <w:uiPriority w:val="99"/>
    <w:qFormat/>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pPr>
        <w:snapToGrid/>
      </w:pPr>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fill="B2A1C6"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B2A1C6"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B2A1C6" w:fill="B2A1C6"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1"/>
    <w:uiPriority w:val="99"/>
    <w:qFormat/>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pPr>
        <w:snapToGrid/>
      </w:pPr>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fill="92CCDC"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92CCDC"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92CCDC" w:fill="92CCDC"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1"/>
    <w:uiPriority w:val="99"/>
    <w:qFormat/>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pPr>
        <w:snapToGrid/>
      </w:pPr>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fill="FAC090"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FAC090"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FAC090" w:fill="FAC090"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12">
    <w:name w:val="清单表 6 彩色11"/>
    <w:basedOn w:val="a1"/>
    <w:uiPriority w:val="99"/>
    <w:qFormat/>
    <w:tblPr>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BFBFB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BFBFB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1"/>
    <w:uiPriority w:val="99"/>
    <w:qFormat/>
    <w:tblPr>
      <w:tblBorders>
        <w:top w:val="single" w:sz="4" w:space="0" w:color="4F81BD" w:themeColor="accent1"/>
        <w:bottom w:val="single" w:sz="4" w:space="0" w:color="4F81BD" w:themeColor="accent1"/>
      </w:tblBorders>
    </w:tblPr>
    <w:tblStylePr w:type="firstRow">
      <w:pPr>
        <w:snapToGrid/>
      </w:pPr>
      <w:rPr>
        <w:b/>
        <w:color w:val="2A4A70" w:themeColor="accent1" w:themeShade="94"/>
      </w:rPr>
      <w:tblPr/>
      <w:tcPr>
        <w:tcBorders>
          <w:bottom w:val="single" w:sz="4" w:space="0" w:color="4F81BD" w:themeColor="accent1"/>
        </w:tcBorders>
      </w:tcPr>
    </w:tblStylePr>
    <w:tblStylePr w:type="lastRow">
      <w:pPr>
        <w:snapToGrid/>
      </w:pPr>
      <w:rPr>
        <w:b/>
        <w:color w:val="2A4A70" w:themeColor="accent1" w:themeShade="94"/>
      </w:rPr>
      <w:tblPr/>
      <w:tcPr>
        <w:tcBorders>
          <w:top w:val="single" w:sz="4" w:space="0" w:color="4F81BD" w:themeColor="accent1"/>
        </w:tcBorders>
      </w:tcPr>
    </w:tblStylePr>
    <w:tblStylePr w:type="firstCol">
      <w:pPr>
        <w:snapToGrid/>
      </w:pPr>
      <w:rPr>
        <w:b/>
        <w:color w:val="2A4A70" w:themeColor="accent1" w:themeShade="94"/>
      </w:rPr>
    </w:tblStylePr>
    <w:tblStylePr w:type="lastCol">
      <w:pPr>
        <w:snapToGrid/>
      </w:pPr>
      <w:rPr>
        <w:b/>
        <w:color w:val="2A4A70" w:themeColor="accent1" w:themeShade="94"/>
      </w:rPr>
    </w:tblStylePr>
    <w:tblStylePr w:type="band1Vert">
      <w:pPr>
        <w:snapToGrid/>
      </w:pPr>
      <w:tblPr/>
      <w:tcPr>
        <w:shd w:val="clear" w:color="D2DFEE" w:fill="D2DFEE" w:themeFill="accent1" w:themeFillTint="40"/>
      </w:tcPr>
    </w:tblStylePr>
    <w:tblStylePr w:type="band2Vert">
      <w:pPr>
        <w:snapToGrid/>
      </w:pPr>
    </w:tblStylePr>
    <w:tblStylePr w:type="band1Horz">
      <w:pPr>
        <w:snapToGrid/>
      </w:pPr>
      <w:rPr>
        <w:rFonts w:ascii="Arial" w:hAnsi="Arial"/>
        <w:color w:val="2A4A70" w:themeColor="accent1" w:themeShade="94"/>
        <w:sz w:val="22"/>
      </w:rPr>
      <w:tblPr/>
      <w:tcPr>
        <w:shd w:val="clear" w:color="D2DFEE" w:fill="D2DFEE" w:themeFill="accent1" w:themeFillTint="40"/>
      </w:tcPr>
    </w:tblStylePr>
    <w:tblStylePr w:type="band2Horz">
      <w:pPr>
        <w:snapToGrid/>
      </w:pPr>
      <w:rPr>
        <w:rFonts w:ascii="Arial" w:hAnsi="Arial"/>
        <w:color w:val="2A4A70" w:themeColor="accent1"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1"/>
    <w:uiPriority w:val="99"/>
    <w:qFormat/>
    <w:tblPr>
      <w:tblBorders>
        <w:top w:val="single" w:sz="4" w:space="0" w:color="D99695" w:themeColor="accent2" w:themeTint="97"/>
        <w:bottom w:val="single" w:sz="4" w:space="0" w:color="D99695" w:themeColor="accent2" w:themeTint="97"/>
      </w:tblBorders>
    </w:tblPr>
    <w:tblStylePr w:type="firstRow">
      <w:pPr>
        <w:snapToGrid/>
      </w:pPr>
      <w:rPr>
        <w:b/>
        <w:color w:val="DA9796" w:themeColor="accent2" w:themeTint="96"/>
      </w:rPr>
      <w:tblPr/>
      <w:tcPr>
        <w:tcBorders>
          <w:bottom w:val="single" w:sz="4" w:space="0" w:color="D99695" w:themeColor="accent2" w:themeTint="97"/>
        </w:tcBorders>
      </w:tcPr>
    </w:tblStylePr>
    <w:tblStylePr w:type="lastRow">
      <w:pPr>
        <w:snapToGrid/>
      </w:pPr>
      <w:rPr>
        <w:b/>
        <w:color w:val="DA9796" w:themeColor="accent2" w:themeTint="96"/>
      </w:rPr>
      <w:tblPr/>
      <w:tcPr>
        <w:tcBorders>
          <w:top w:val="single" w:sz="4" w:space="0" w:color="D99695" w:themeColor="accent2" w:themeTint="97"/>
        </w:tcBorders>
      </w:tcPr>
    </w:tblStylePr>
    <w:tblStylePr w:type="firstCol">
      <w:pPr>
        <w:snapToGrid/>
      </w:pPr>
      <w:rPr>
        <w:b/>
        <w:color w:val="DA9796" w:themeColor="accent2" w:themeTint="96"/>
      </w:rPr>
    </w:tblStylePr>
    <w:tblStylePr w:type="lastCol">
      <w:pPr>
        <w:snapToGrid/>
      </w:pPr>
      <w:rPr>
        <w:b/>
        <w:color w:val="DA9796" w:themeColor="accent2" w:themeTint="96"/>
      </w:rPr>
    </w:tblStylePr>
    <w:tblStylePr w:type="band1Vert">
      <w:pPr>
        <w:snapToGrid/>
      </w:pPr>
      <w:tblPr/>
      <w:tcPr>
        <w:shd w:val="clear" w:color="EFD2D2" w:fill="EFD2D2" w:themeFill="accent2" w:themeFillTint="40"/>
      </w:tcPr>
    </w:tblStylePr>
    <w:tblStylePr w:type="band2Vert">
      <w:pPr>
        <w:snapToGrid/>
      </w:pPr>
    </w:tblStylePr>
    <w:tblStylePr w:type="band1Horz">
      <w:pPr>
        <w:snapToGrid/>
      </w:pPr>
      <w:rPr>
        <w:rFonts w:ascii="Arial" w:hAnsi="Arial"/>
        <w:color w:val="DA9796" w:themeColor="accent2" w:themeTint="96"/>
        <w:sz w:val="22"/>
      </w:rPr>
      <w:tblPr/>
      <w:tcPr>
        <w:shd w:val="clear" w:color="EFD2D2" w:fill="EFD2D2" w:themeFill="accent2" w:themeFillTint="40"/>
      </w:tcPr>
    </w:tblStylePr>
    <w:tblStylePr w:type="band2Horz">
      <w:pPr>
        <w:snapToGrid/>
      </w:pPr>
      <w:rPr>
        <w:rFonts w:ascii="Arial" w:hAnsi="Arial"/>
        <w:color w:val="DA9796"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1"/>
    <w:uiPriority w:val="99"/>
    <w:qFormat/>
    <w:tblPr>
      <w:tblBorders>
        <w:top w:val="single" w:sz="4" w:space="0" w:color="C3D69B" w:themeColor="accent3" w:themeTint="98"/>
        <w:bottom w:val="single" w:sz="4" w:space="0" w:color="C3D69B" w:themeColor="accent3" w:themeTint="98"/>
      </w:tblBorders>
    </w:tblPr>
    <w:tblStylePr w:type="firstRow">
      <w:pPr>
        <w:snapToGrid/>
      </w:pPr>
      <w:rPr>
        <w:b/>
        <w:color w:val="C2D69B" w:themeColor="accent3" w:themeTint="99"/>
      </w:rPr>
      <w:tblPr/>
      <w:tcPr>
        <w:tcBorders>
          <w:bottom w:val="single" w:sz="4" w:space="0" w:color="C3D69B" w:themeColor="accent3" w:themeTint="98"/>
        </w:tcBorders>
      </w:tcPr>
    </w:tblStylePr>
    <w:tblStylePr w:type="lastRow">
      <w:pPr>
        <w:snapToGrid/>
      </w:pPr>
      <w:rPr>
        <w:b/>
        <w:color w:val="C2D69B" w:themeColor="accent3" w:themeTint="99"/>
      </w:rPr>
      <w:tblPr/>
      <w:tcPr>
        <w:tcBorders>
          <w:top w:val="single" w:sz="4" w:space="0" w:color="C3D69B" w:themeColor="accent3" w:themeTint="98"/>
        </w:tcBorders>
      </w:tcPr>
    </w:tblStylePr>
    <w:tblStylePr w:type="firstCol">
      <w:pPr>
        <w:snapToGrid/>
      </w:pPr>
      <w:rPr>
        <w:b/>
        <w:color w:val="C2D69B" w:themeColor="accent3" w:themeTint="99"/>
      </w:rPr>
    </w:tblStylePr>
    <w:tblStylePr w:type="lastCol">
      <w:pPr>
        <w:snapToGrid/>
      </w:pPr>
      <w:rPr>
        <w:b/>
        <w:color w:val="C2D69B" w:themeColor="accent3" w:themeTint="99"/>
      </w:rPr>
    </w:tblStylePr>
    <w:tblStylePr w:type="band1Vert">
      <w:pPr>
        <w:snapToGrid/>
      </w:pPr>
      <w:tblPr/>
      <w:tcPr>
        <w:shd w:val="clear" w:color="E5EED5" w:fill="E5EED5" w:themeFill="accent3" w:themeFillTint="40"/>
      </w:tcPr>
    </w:tblStylePr>
    <w:tblStylePr w:type="band2Vert">
      <w:pPr>
        <w:snapToGrid/>
      </w:pPr>
    </w:tblStylePr>
    <w:tblStylePr w:type="band1Horz">
      <w:pPr>
        <w:snapToGrid/>
      </w:pPr>
      <w:rPr>
        <w:rFonts w:ascii="Arial" w:hAnsi="Arial"/>
        <w:color w:val="C2D69B" w:themeColor="accent3" w:themeTint="99"/>
        <w:sz w:val="22"/>
      </w:rPr>
      <w:tblPr/>
      <w:tcPr>
        <w:shd w:val="clear" w:color="E5EED5" w:fill="E5EED5" w:themeFill="accent3" w:themeFillTint="40"/>
      </w:tcPr>
    </w:tblStylePr>
    <w:tblStylePr w:type="band2Horz">
      <w:pPr>
        <w:snapToGrid/>
      </w:pPr>
      <w:rPr>
        <w:rFonts w:ascii="Arial" w:hAnsi="Arial"/>
        <w:color w:val="C2D69B" w:themeColor="accent3"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1"/>
    <w:uiPriority w:val="99"/>
    <w:qFormat/>
    <w:tblPr>
      <w:tblBorders>
        <w:top w:val="single" w:sz="4" w:space="0" w:color="B2A1C6" w:themeColor="accent4" w:themeTint="9A"/>
        <w:bottom w:val="single" w:sz="4" w:space="0" w:color="B2A1C6" w:themeColor="accent4" w:themeTint="9A"/>
      </w:tblBorders>
    </w:tblPr>
    <w:tblStylePr w:type="firstRow">
      <w:pPr>
        <w:snapToGrid/>
      </w:pPr>
      <w:rPr>
        <w:b/>
        <w:color w:val="B2A1C7" w:themeColor="accent4" w:themeTint="99"/>
      </w:rPr>
      <w:tblPr/>
      <w:tcPr>
        <w:tcBorders>
          <w:bottom w:val="single" w:sz="4" w:space="0" w:color="B2A1C6" w:themeColor="accent4" w:themeTint="9A"/>
        </w:tcBorders>
      </w:tcPr>
    </w:tblStylePr>
    <w:tblStylePr w:type="lastRow">
      <w:pPr>
        <w:snapToGrid/>
      </w:pPr>
      <w:rPr>
        <w:b/>
        <w:color w:val="B2A1C7" w:themeColor="accent4" w:themeTint="99"/>
      </w:rPr>
      <w:tblPr/>
      <w:tcPr>
        <w:tcBorders>
          <w:top w:val="single" w:sz="4" w:space="0" w:color="B2A1C6" w:themeColor="accent4" w:themeTint="9A"/>
        </w:tcBorders>
      </w:tcPr>
    </w:tblStylePr>
    <w:tblStylePr w:type="firstCol">
      <w:pPr>
        <w:snapToGrid/>
      </w:pPr>
      <w:rPr>
        <w:b/>
        <w:color w:val="B2A1C7" w:themeColor="accent4" w:themeTint="99"/>
      </w:rPr>
    </w:tblStylePr>
    <w:tblStylePr w:type="lastCol">
      <w:pPr>
        <w:snapToGrid/>
      </w:pPr>
      <w:rPr>
        <w:b/>
        <w:color w:val="B2A1C7" w:themeColor="accent4" w:themeTint="99"/>
      </w:rPr>
    </w:tblStylePr>
    <w:tblStylePr w:type="band1Vert">
      <w:pPr>
        <w:snapToGrid/>
      </w:pPr>
      <w:tblPr/>
      <w:tcPr>
        <w:shd w:val="clear" w:color="DFD8E7" w:fill="DFD8E7" w:themeFill="accent4" w:themeFillTint="40"/>
      </w:tcPr>
    </w:tblStylePr>
    <w:tblStylePr w:type="band2Vert">
      <w:pPr>
        <w:snapToGrid/>
      </w:pPr>
    </w:tblStylePr>
    <w:tblStylePr w:type="band1Horz">
      <w:pPr>
        <w:snapToGrid/>
      </w:pPr>
      <w:rPr>
        <w:rFonts w:ascii="Arial" w:hAnsi="Arial"/>
        <w:color w:val="B2A1C7" w:themeColor="accent4" w:themeTint="99"/>
        <w:sz w:val="22"/>
      </w:rPr>
      <w:tblPr/>
      <w:tcPr>
        <w:shd w:val="clear" w:color="DFD8E7" w:fill="DFD8E7" w:themeFill="accent4" w:themeFillTint="40"/>
      </w:tcPr>
    </w:tblStylePr>
    <w:tblStylePr w:type="band2Horz">
      <w:pPr>
        <w:snapToGrid/>
      </w:pPr>
      <w:rPr>
        <w:rFonts w:ascii="Arial" w:hAnsi="Arial"/>
        <w:color w:val="B2A1C7"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1"/>
    <w:uiPriority w:val="99"/>
    <w:qFormat/>
    <w:tblPr>
      <w:tblBorders>
        <w:top w:val="single" w:sz="4" w:space="0" w:color="92CCDC" w:themeColor="accent5" w:themeTint="9A"/>
        <w:bottom w:val="single" w:sz="4" w:space="0" w:color="92CCDC" w:themeColor="accent5" w:themeTint="9A"/>
      </w:tblBorders>
    </w:tblPr>
    <w:tblStylePr w:type="firstRow">
      <w:pPr>
        <w:snapToGrid/>
      </w:pPr>
      <w:rPr>
        <w:b/>
        <w:color w:val="92CDDC" w:themeColor="accent5" w:themeTint="99"/>
      </w:rPr>
      <w:tblPr/>
      <w:tcPr>
        <w:tcBorders>
          <w:bottom w:val="single" w:sz="4" w:space="0" w:color="92CCDC" w:themeColor="accent5" w:themeTint="9A"/>
        </w:tcBorders>
      </w:tcPr>
    </w:tblStylePr>
    <w:tblStylePr w:type="lastRow">
      <w:pPr>
        <w:snapToGrid/>
      </w:pPr>
      <w:rPr>
        <w:b/>
        <w:color w:val="92CDDC" w:themeColor="accent5" w:themeTint="99"/>
      </w:rPr>
      <w:tblPr/>
      <w:tcPr>
        <w:tcBorders>
          <w:top w:val="single" w:sz="4" w:space="0" w:color="92CCDC" w:themeColor="accent5" w:themeTint="9A"/>
        </w:tcBorders>
      </w:tcPr>
    </w:tblStylePr>
    <w:tblStylePr w:type="firstCol">
      <w:pPr>
        <w:snapToGrid/>
      </w:pPr>
      <w:rPr>
        <w:b/>
        <w:color w:val="92CDDC" w:themeColor="accent5" w:themeTint="99"/>
      </w:rPr>
    </w:tblStylePr>
    <w:tblStylePr w:type="lastCol">
      <w:pPr>
        <w:snapToGrid/>
      </w:pPr>
      <w:rPr>
        <w:b/>
        <w:color w:val="92CDDC" w:themeColor="accent5" w:themeTint="99"/>
      </w:rPr>
    </w:tblStylePr>
    <w:tblStylePr w:type="band1Vert">
      <w:pPr>
        <w:snapToGrid/>
      </w:pPr>
      <w:tblPr/>
      <w:tcPr>
        <w:shd w:val="clear" w:color="D1EAF0" w:fill="D1EAF0" w:themeFill="accent5" w:themeFillTint="40"/>
      </w:tcPr>
    </w:tblStylePr>
    <w:tblStylePr w:type="band2Vert">
      <w:pPr>
        <w:snapToGrid/>
      </w:pPr>
    </w:tblStylePr>
    <w:tblStylePr w:type="band1Horz">
      <w:pPr>
        <w:snapToGrid/>
      </w:pPr>
      <w:rPr>
        <w:rFonts w:ascii="Arial" w:hAnsi="Arial"/>
        <w:color w:val="92CDDC" w:themeColor="accent5" w:themeTint="99"/>
        <w:sz w:val="22"/>
      </w:rPr>
      <w:tblPr/>
      <w:tcPr>
        <w:shd w:val="clear" w:color="D1EAF0" w:fill="D1EAF0" w:themeFill="accent5" w:themeFillTint="40"/>
      </w:tcPr>
    </w:tblStylePr>
    <w:tblStylePr w:type="band2Horz">
      <w:pPr>
        <w:snapToGrid/>
      </w:pPr>
      <w:rPr>
        <w:rFonts w:ascii="Arial" w:hAnsi="Arial"/>
        <w:color w:val="92CDDC" w:themeColor="accent5"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1"/>
    <w:uiPriority w:val="99"/>
    <w:qFormat/>
    <w:tblPr>
      <w:tblBorders>
        <w:top w:val="single" w:sz="4" w:space="0" w:color="FAC090" w:themeColor="accent6" w:themeTint="98"/>
        <w:bottom w:val="single" w:sz="4" w:space="0" w:color="FAC090" w:themeColor="accent6" w:themeTint="98"/>
      </w:tblBorders>
    </w:tblPr>
    <w:tblStylePr w:type="firstRow">
      <w:pPr>
        <w:snapToGrid/>
      </w:pPr>
      <w:rPr>
        <w:b/>
        <w:color w:val="FABF8F" w:themeColor="accent6" w:themeTint="99"/>
      </w:rPr>
      <w:tblPr/>
      <w:tcPr>
        <w:tcBorders>
          <w:bottom w:val="single" w:sz="4" w:space="0" w:color="FAC090" w:themeColor="accent6" w:themeTint="98"/>
        </w:tcBorders>
      </w:tcPr>
    </w:tblStylePr>
    <w:tblStylePr w:type="lastRow">
      <w:pPr>
        <w:snapToGrid/>
      </w:pPr>
      <w:rPr>
        <w:b/>
        <w:color w:val="FABF8F" w:themeColor="accent6" w:themeTint="99"/>
      </w:rPr>
      <w:tblPr/>
      <w:tcPr>
        <w:tcBorders>
          <w:top w:val="single" w:sz="4" w:space="0" w:color="FAC090" w:themeColor="accent6" w:themeTint="98"/>
        </w:tcBorders>
      </w:tcPr>
    </w:tblStylePr>
    <w:tblStylePr w:type="firstCol">
      <w:pPr>
        <w:snapToGrid/>
      </w:pPr>
      <w:rPr>
        <w:b/>
        <w:color w:val="FABF8F" w:themeColor="accent6" w:themeTint="99"/>
      </w:rPr>
    </w:tblStylePr>
    <w:tblStylePr w:type="lastCol">
      <w:pPr>
        <w:snapToGrid/>
      </w:pPr>
      <w:rPr>
        <w:b/>
        <w:color w:val="FABF8F" w:themeColor="accent6" w:themeTint="99"/>
      </w:rPr>
    </w:tblStylePr>
    <w:tblStylePr w:type="band1Vert">
      <w:pPr>
        <w:snapToGrid/>
      </w:pPr>
      <w:tblPr/>
      <w:tcPr>
        <w:shd w:val="clear" w:color="FDE4D0" w:fill="FDE4D0" w:themeFill="accent6" w:themeFillTint="40"/>
      </w:tcPr>
    </w:tblStylePr>
    <w:tblStylePr w:type="band2Vert">
      <w:pPr>
        <w:snapToGrid/>
      </w:pPr>
    </w:tblStylePr>
    <w:tblStylePr w:type="band1Horz">
      <w:pPr>
        <w:snapToGrid/>
      </w:pPr>
      <w:rPr>
        <w:rFonts w:ascii="Arial" w:hAnsi="Arial"/>
        <w:color w:val="FABF8F" w:themeColor="accent6" w:themeTint="99"/>
        <w:sz w:val="22"/>
      </w:rPr>
      <w:tblPr/>
      <w:tcPr>
        <w:shd w:val="clear" w:color="FDE4D0" w:fill="FDE4D0" w:themeFill="accent6" w:themeFillTint="40"/>
      </w:tcPr>
    </w:tblStylePr>
    <w:tblStylePr w:type="band2Horz">
      <w:pPr>
        <w:snapToGrid/>
      </w:pPr>
      <w:rPr>
        <w:rFonts w:ascii="Arial" w:hAnsi="Arial"/>
        <w:color w:val="FABF8F" w:themeColor="accent6"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12">
    <w:name w:val="清单表 7 彩色11"/>
    <w:basedOn w:val="a1"/>
    <w:uiPriority w:val="99"/>
    <w:qFormat/>
    <w:tblPr>
      <w:tblBorders>
        <w:right w:val="single" w:sz="4" w:space="0" w:color="7F7F7F" w:themeColor="text1" w:themeTint="80"/>
      </w:tblBorders>
    </w:tblPr>
    <w:tblStylePr w:type="firstRow">
      <w:pPr>
        <w:snapToGrid/>
      </w:pPr>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BFBFBF" w:fill="BFBFBF" w:themeFill="text1" w:themeFillTint="40"/>
      </w:tcPr>
    </w:tblStylePr>
    <w:tblStylePr w:type="band2Vert">
      <w:pPr>
        <w:snapToGrid/>
      </w:pPr>
    </w:tblStylePr>
    <w:tblStylePr w:type="band1Horz">
      <w:pPr>
        <w:snapToGrid/>
      </w:pPr>
      <w:rPr>
        <w:rFonts w:ascii="Arial" w:hAnsi="Arial"/>
        <w:color w:val="7F7F7F" w:themeColor="text1" w:themeTint="80"/>
        <w:sz w:val="22"/>
      </w:rPr>
      <w:tblPr/>
      <w:tcPr>
        <w:shd w:val="clear" w:color="BFBFBF" w:fill="BFBFBF" w:themeFill="text1" w:themeFillTint="40"/>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1"/>
    <w:uiPriority w:val="99"/>
    <w:qFormat/>
    <w:tblPr>
      <w:tblBorders>
        <w:right w:val="single" w:sz="4" w:space="0" w:color="4F81BD" w:themeColor="accent1"/>
      </w:tblBorders>
    </w:tblPr>
    <w:tblStylePr w:type="firstRow">
      <w:pPr>
        <w:snapToGrid/>
      </w:pPr>
      <w:rPr>
        <w:rFonts w:ascii="Arial" w:hAnsi="Arial"/>
        <w:i/>
        <w:color w:val="2A4A70" w:themeColor="accent1" w:themeShade="94"/>
        <w:sz w:val="22"/>
      </w:rPr>
      <w:tblPr/>
      <w:tcPr>
        <w:tcBorders>
          <w:top w:val="nil"/>
          <w:left w:val="nil"/>
          <w:bottom w:val="single" w:sz="4" w:space="0" w:color="4F81BD" w:themeColor="accent1"/>
          <w:right w:val="nil"/>
        </w:tcBorders>
        <w:shd w:val="clear" w:color="FFFFFF" w:fill="FFFFFF" w:themeFill="light1"/>
      </w:tcPr>
    </w:tblStylePr>
    <w:tblStylePr w:type="lastRow">
      <w:pPr>
        <w:snapToGrid/>
      </w:pPr>
      <w:rPr>
        <w:rFonts w:ascii="Arial" w:hAnsi="Arial"/>
        <w:i/>
        <w:color w:val="2A4A70" w:themeColor="accent1" w:themeShade="94"/>
        <w:sz w:val="22"/>
      </w:rPr>
      <w:tblPr/>
      <w:tcPr>
        <w:tcBorders>
          <w:top w:val="single" w:sz="4" w:space="0" w:color="4F81BD" w:themeColor="accent1"/>
          <w:left w:val="nil"/>
          <w:bottom w:val="nil"/>
          <w:right w:val="nil"/>
        </w:tcBorders>
        <w:shd w:val="clear" w:color="FFFFFF" w:fill="FFFFFF" w:themeFill="light1"/>
      </w:tcPr>
    </w:tblStylePr>
    <w:tblStylePr w:type="firstCol">
      <w:pPr>
        <w:snapToGrid/>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FFFFFF"/>
      </w:tcPr>
    </w:tblStylePr>
    <w:tblStylePr w:type="lastCol">
      <w:pPr>
        <w:snapToGrid/>
      </w:pPr>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FFFFFF"/>
      </w:tcPr>
    </w:tblStylePr>
    <w:tblStylePr w:type="band1Vert">
      <w:pPr>
        <w:snapToGrid/>
      </w:pPr>
      <w:tblPr/>
      <w:tcPr>
        <w:shd w:val="clear" w:color="D2DFEE" w:fill="D2DFEE" w:themeFill="accent1" w:themeFillTint="40"/>
      </w:tcPr>
    </w:tblStylePr>
    <w:tblStylePr w:type="band2Vert">
      <w:pPr>
        <w:snapToGrid/>
      </w:pPr>
    </w:tblStylePr>
    <w:tblStylePr w:type="band1Horz">
      <w:pPr>
        <w:snapToGrid/>
      </w:pPr>
      <w:rPr>
        <w:rFonts w:ascii="Arial" w:hAnsi="Arial"/>
        <w:color w:val="2A4A70" w:themeColor="accent1" w:themeShade="94"/>
        <w:sz w:val="22"/>
      </w:rPr>
      <w:tblPr/>
      <w:tcPr>
        <w:shd w:val="clear" w:color="D2DFEE" w:fill="D2DFEE" w:themeFill="accent1" w:themeFillTint="40"/>
      </w:tcPr>
    </w:tblStylePr>
    <w:tblStylePr w:type="band2Horz">
      <w:pPr>
        <w:snapToGrid/>
      </w:pPr>
      <w:rPr>
        <w:rFonts w:ascii="Arial" w:hAnsi="Arial"/>
        <w:color w:val="2A4A70" w:themeColor="accent1"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1"/>
    <w:uiPriority w:val="99"/>
    <w:qFormat/>
    <w:tblPr>
      <w:tblBorders>
        <w:right w:val="single" w:sz="4" w:space="0" w:color="D99695" w:themeColor="accent2" w:themeTint="97"/>
      </w:tblBorders>
    </w:tblPr>
    <w:tblStylePr w:type="firstRow">
      <w:pPr>
        <w:snapToGrid/>
      </w:pPr>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fill="FFFFFF" w:themeFill="light1"/>
      </w:tcPr>
    </w:tblStylePr>
    <w:tblStylePr w:type="lastRow">
      <w:pPr>
        <w:snapToGrid/>
      </w:pPr>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fill="FFFFFF" w:themeFill="light1"/>
      </w:tcPr>
    </w:tblStylePr>
    <w:tblStylePr w:type="firstCol">
      <w:pPr>
        <w:snapToGrid/>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FFFFFF"/>
      </w:tcPr>
    </w:tblStylePr>
    <w:tblStylePr w:type="lastCol">
      <w:pPr>
        <w:snapToGrid/>
      </w:pPr>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FFFFFF"/>
      </w:tcPr>
    </w:tblStylePr>
    <w:tblStylePr w:type="band1Vert">
      <w:pPr>
        <w:snapToGrid/>
      </w:pPr>
      <w:tblPr/>
      <w:tcPr>
        <w:shd w:val="clear" w:color="EFD2D2" w:fill="EFD2D2" w:themeFill="accent2" w:themeFillTint="40"/>
      </w:tcPr>
    </w:tblStylePr>
    <w:tblStylePr w:type="band2Vert">
      <w:pPr>
        <w:snapToGrid/>
      </w:pPr>
    </w:tblStylePr>
    <w:tblStylePr w:type="band1Horz">
      <w:pPr>
        <w:snapToGrid/>
      </w:pPr>
      <w:rPr>
        <w:rFonts w:ascii="Arial" w:hAnsi="Arial"/>
        <w:color w:val="DA9796" w:themeColor="accent2" w:themeTint="96"/>
        <w:sz w:val="22"/>
      </w:rPr>
      <w:tblPr/>
      <w:tcPr>
        <w:shd w:val="clear" w:color="EFD2D2" w:fill="EFD2D2" w:themeFill="accent2" w:themeFillTint="40"/>
      </w:tcPr>
    </w:tblStylePr>
    <w:tblStylePr w:type="band2Horz">
      <w:pPr>
        <w:snapToGrid/>
      </w:pPr>
      <w:rPr>
        <w:rFonts w:ascii="Arial" w:hAnsi="Arial"/>
        <w:color w:val="DA9796"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1"/>
    <w:uiPriority w:val="99"/>
    <w:qFormat/>
    <w:tblPr>
      <w:tblBorders>
        <w:right w:val="single" w:sz="4" w:space="0" w:color="C3D69B" w:themeColor="accent3" w:themeTint="98"/>
      </w:tblBorders>
    </w:tblPr>
    <w:tblStylePr w:type="firstRow">
      <w:pPr>
        <w:snapToGrid/>
      </w:pPr>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fill="FFFFFF" w:themeFill="light1"/>
      </w:tcPr>
    </w:tblStylePr>
    <w:tblStylePr w:type="lastRow">
      <w:pPr>
        <w:snapToGrid/>
      </w:pPr>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fill="FFFFFF" w:themeFill="light1"/>
      </w:tcPr>
    </w:tblStylePr>
    <w:tblStylePr w:type="firstCol">
      <w:pPr>
        <w:snapToGrid/>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FFFFFF"/>
      </w:tcPr>
    </w:tblStylePr>
    <w:tblStylePr w:type="lastCol">
      <w:pPr>
        <w:snapToGrid/>
      </w:pPr>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FFFFFF"/>
      </w:tcPr>
    </w:tblStylePr>
    <w:tblStylePr w:type="band1Vert">
      <w:pPr>
        <w:snapToGrid/>
      </w:pPr>
      <w:tblPr/>
      <w:tcPr>
        <w:shd w:val="clear" w:color="E5EED5" w:fill="E5EED5" w:themeFill="accent3" w:themeFillTint="40"/>
      </w:tcPr>
    </w:tblStylePr>
    <w:tblStylePr w:type="band2Vert">
      <w:pPr>
        <w:snapToGrid/>
      </w:pPr>
    </w:tblStylePr>
    <w:tblStylePr w:type="band1Horz">
      <w:pPr>
        <w:snapToGrid/>
      </w:pPr>
      <w:rPr>
        <w:rFonts w:ascii="Arial" w:hAnsi="Arial"/>
        <w:color w:val="C2D69B" w:themeColor="accent3" w:themeTint="99"/>
        <w:sz w:val="22"/>
      </w:rPr>
      <w:tblPr/>
      <w:tcPr>
        <w:shd w:val="clear" w:color="E5EED5" w:fill="E5EED5" w:themeFill="accent3" w:themeFillTint="40"/>
      </w:tcPr>
    </w:tblStylePr>
    <w:tblStylePr w:type="band2Horz">
      <w:pPr>
        <w:snapToGrid/>
      </w:pPr>
      <w:rPr>
        <w:rFonts w:ascii="Arial" w:hAnsi="Arial"/>
        <w:color w:val="C2D69B" w:themeColor="accent3"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1"/>
    <w:uiPriority w:val="99"/>
    <w:qFormat/>
    <w:tblPr>
      <w:tblBorders>
        <w:right w:val="single" w:sz="4" w:space="0" w:color="B2A1C6" w:themeColor="accent4" w:themeTint="9A"/>
      </w:tblBorders>
    </w:tblPr>
    <w:tblStylePr w:type="firstRow">
      <w:pPr>
        <w:snapToGrid/>
      </w:pPr>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fill="FFFFFF" w:themeFill="light1"/>
      </w:tcPr>
    </w:tblStylePr>
    <w:tblStylePr w:type="lastRow">
      <w:pPr>
        <w:snapToGrid/>
      </w:pPr>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fill="FFFFFF" w:themeFill="light1"/>
      </w:tcPr>
    </w:tblStylePr>
    <w:tblStylePr w:type="firstCol">
      <w:pPr>
        <w:snapToGrid/>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FFFFFF"/>
      </w:tcPr>
    </w:tblStylePr>
    <w:tblStylePr w:type="lastCol">
      <w:pPr>
        <w:snapToGrid/>
      </w:pPr>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FFFFFF"/>
      </w:tcPr>
    </w:tblStylePr>
    <w:tblStylePr w:type="band1Vert">
      <w:pPr>
        <w:snapToGrid/>
      </w:pPr>
      <w:tblPr/>
      <w:tcPr>
        <w:shd w:val="clear" w:color="DFD8E7" w:fill="DFD8E7" w:themeFill="accent4" w:themeFillTint="40"/>
      </w:tcPr>
    </w:tblStylePr>
    <w:tblStylePr w:type="band2Vert">
      <w:pPr>
        <w:snapToGrid/>
      </w:pPr>
    </w:tblStylePr>
    <w:tblStylePr w:type="band1Horz">
      <w:pPr>
        <w:snapToGrid/>
      </w:pPr>
      <w:rPr>
        <w:rFonts w:ascii="Arial" w:hAnsi="Arial"/>
        <w:color w:val="B2A1C7" w:themeColor="accent4" w:themeTint="99"/>
        <w:sz w:val="22"/>
      </w:rPr>
      <w:tblPr/>
      <w:tcPr>
        <w:shd w:val="clear" w:color="DFD8E7" w:fill="DFD8E7" w:themeFill="accent4" w:themeFillTint="40"/>
      </w:tcPr>
    </w:tblStylePr>
    <w:tblStylePr w:type="band2Horz">
      <w:pPr>
        <w:snapToGrid/>
      </w:pPr>
      <w:rPr>
        <w:rFonts w:ascii="Arial" w:hAnsi="Arial"/>
        <w:color w:val="B2A1C7"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1"/>
    <w:uiPriority w:val="99"/>
    <w:qFormat/>
    <w:tblPr>
      <w:tblBorders>
        <w:right w:val="single" w:sz="4" w:space="0" w:color="92CCDC" w:themeColor="accent5" w:themeTint="9A"/>
      </w:tblBorders>
    </w:tblPr>
    <w:tblStylePr w:type="firstRow">
      <w:pPr>
        <w:snapToGrid/>
      </w:pPr>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fill="FFFFFF" w:themeFill="light1"/>
      </w:tcPr>
    </w:tblStylePr>
    <w:tblStylePr w:type="lastRow">
      <w:pPr>
        <w:snapToGrid/>
      </w:pPr>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fill="FFFFFF" w:themeFill="light1"/>
      </w:tcPr>
    </w:tblStylePr>
    <w:tblStylePr w:type="firstCol">
      <w:pPr>
        <w:snapToGrid/>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FFFFFF"/>
      </w:tcPr>
    </w:tblStylePr>
    <w:tblStylePr w:type="lastCol">
      <w:pPr>
        <w:snapToGrid/>
      </w:pPr>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FFFFFF"/>
      </w:tcPr>
    </w:tblStylePr>
    <w:tblStylePr w:type="band1Vert">
      <w:pPr>
        <w:snapToGrid/>
      </w:pPr>
      <w:tblPr/>
      <w:tcPr>
        <w:shd w:val="clear" w:color="D1EAF0" w:fill="D1EAF0" w:themeFill="accent5" w:themeFillTint="40"/>
      </w:tcPr>
    </w:tblStylePr>
    <w:tblStylePr w:type="band2Vert">
      <w:pPr>
        <w:snapToGrid/>
      </w:pPr>
    </w:tblStylePr>
    <w:tblStylePr w:type="band1Horz">
      <w:pPr>
        <w:snapToGrid/>
      </w:pPr>
      <w:rPr>
        <w:rFonts w:ascii="Arial" w:hAnsi="Arial"/>
        <w:color w:val="92CDDC" w:themeColor="accent5" w:themeTint="99"/>
        <w:sz w:val="22"/>
      </w:rPr>
      <w:tblPr/>
      <w:tcPr>
        <w:shd w:val="clear" w:color="D1EAF0" w:fill="D1EAF0" w:themeFill="accent5" w:themeFillTint="40"/>
      </w:tcPr>
    </w:tblStylePr>
    <w:tblStylePr w:type="band2Horz">
      <w:pPr>
        <w:snapToGrid/>
      </w:pPr>
      <w:rPr>
        <w:rFonts w:ascii="Arial" w:hAnsi="Arial"/>
        <w:color w:val="92CDDC" w:themeColor="accent5"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1"/>
    <w:uiPriority w:val="99"/>
    <w:qFormat/>
    <w:tblPr>
      <w:tblBorders>
        <w:right w:val="single" w:sz="4" w:space="0" w:color="FAC090" w:themeColor="accent6" w:themeTint="98"/>
      </w:tblBorders>
    </w:tblPr>
    <w:tblStylePr w:type="firstRow">
      <w:pPr>
        <w:snapToGrid/>
      </w:pPr>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fill="FFFFFF" w:themeFill="light1"/>
      </w:tcPr>
    </w:tblStylePr>
    <w:tblStylePr w:type="lastRow">
      <w:pPr>
        <w:snapToGrid/>
      </w:pPr>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fill="FFFFFF" w:themeFill="light1"/>
      </w:tcPr>
    </w:tblStylePr>
    <w:tblStylePr w:type="firstCol">
      <w:pPr>
        <w:snapToGrid/>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FFFFFF"/>
      </w:tcPr>
    </w:tblStylePr>
    <w:tblStylePr w:type="lastCol">
      <w:pPr>
        <w:snapToGrid/>
      </w:pPr>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FFFFFF"/>
      </w:tcPr>
    </w:tblStylePr>
    <w:tblStylePr w:type="band1Vert">
      <w:pPr>
        <w:snapToGrid/>
      </w:pPr>
      <w:tblPr/>
      <w:tcPr>
        <w:shd w:val="clear" w:color="FDE4D0" w:fill="FDE4D0" w:themeFill="accent6" w:themeFillTint="40"/>
      </w:tcPr>
    </w:tblStylePr>
    <w:tblStylePr w:type="band2Vert">
      <w:pPr>
        <w:snapToGrid/>
      </w:pPr>
    </w:tblStylePr>
    <w:tblStylePr w:type="band1Horz">
      <w:pPr>
        <w:snapToGrid/>
      </w:pPr>
      <w:rPr>
        <w:rFonts w:ascii="Arial" w:hAnsi="Arial"/>
        <w:color w:val="FABF8F" w:themeColor="accent6" w:themeTint="99"/>
        <w:sz w:val="22"/>
      </w:rPr>
      <w:tblPr/>
      <w:tcPr>
        <w:shd w:val="clear" w:color="FDE4D0" w:fill="FDE4D0" w:themeFill="accent6" w:themeFillTint="40"/>
      </w:tcPr>
    </w:tblStylePr>
    <w:tblStylePr w:type="band2Horz">
      <w:pPr>
        <w:snapToGrid/>
      </w:pPr>
      <w:rPr>
        <w:rFonts w:ascii="Arial" w:hAnsi="Arial"/>
        <w:color w:val="FABF8F" w:themeColor="accent6"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1"/>
    <w:uiPriority w:val="99"/>
    <w:qFormat/>
    <w:rPr>
      <w:color w:val="404040"/>
    </w:rPr>
    <w:tblPr/>
    <w:tblStylePr w:type="firstRow">
      <w:pPr>
        <w:snapToGrid/>
      </w:pPr>
      <w:rPr>
        <w:rFonts w:ascii="Arial" w:hAnsi="Arial"/>
        <w:color w:val="F2F2F2"/>
        <w:sz w:val="22"/>
      </w:rPr>
      <w:tblPr/>
      <w:tcPr>
        <w:shd w:val="clear" w:color="7F7F7F" w:fill="7F7F7F" w:themeFill="text1" w:themeFillTint="80"/>
      </w:tcPr>
    </w:tblStylePr>
    <w:tblStylePr w:type="lastRow">
      <w:pPr>
        <w:snapToGrid/>
      </w:pPr>
      <w:rPr>
        <w:rFonts w:ascii="Arial" w:hAnsi="Arial"/>
        <w:color w:val="F2F2F2"/>
        <w:sz w:val="22"/>
      </w:rPr>
      <w:tblPr/>
      <w:tcPr>
        <w:shd w:val="clear" w:color="7F7F7F" w:fill="7F7F7F" w:themeFill="text1" w:themeFillTint="80"/>
      </w:tcPr>
    </w:tblStylePr>
    <w:tblStylePr w:type="firstCol">
      <w:pPr>
        <w:snapToGrid/>
      </w:pPr>
      <w:rPr>
        <w:rFonts w:ascii="Arial" w:hAnsi="Arial"/>
        <w:color w:val="F2F2F2"/>
        <w:sz w:val="22"/>
      </w:rPr>
      <w:tblPr/>
      <w:tcPr>
        <w:shd w:val="clear" w:color="7F7F7F" w:fill="7F7F7F" w:themeFill="text1" w:themeFillTint="80"/>
      </w:tcPr>
    </w:tblStylePr>
    <w:tblStylePr w:type="lastCol">
      <w:pPr>
        <w:snapToGrid/>
      </w:pPr>
      <w:rPr>
        <w:rFonts w:ascii="Arial" w:hAnsi="Arial"/>
        <w:color w:val="F2F2F2"/>
        <w:sz w:val="22"/>
      </w:rPr>
      <w:tblPr/>
      <w:tcPr>
        <w:shd w:val="clear" w:color="7F7F7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2F2F2"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2F2F2"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1"/>
    <w:uiPriority w:val="99"/>
    <w:qFormat/>
    <w:rPr>
      <w:color w:val="404040"/>
    </w:rPr>
    <w:tblPr/>
    <w:tblStylePr w:type="firstRow">
      <w:pPr>
        <w:snapToGrid/>
      </w:pPr>
      <w:rPr>
        <w:rFonts w:ascii="Arial" w:hAnsi="Arial"/>
        <w:color w:val="F2F2F2"/>
        <w:sz w:val="22"/>
      </w:rPr>
      <w:tblPr/>
      <w:tcPr>
        <w:shd w:val="clear" w:color="5D8AC2" w:fill="5D8AC2" w:themeFill="accent1" w:themeFillTint="EA"/>
      </w:tcPr>
    </w:tblStylePr>
    <w:tblStylePr w:type="lastRow">
      <w:pPr>
        <w:snapToGrid/>
      </w:pPr>
      <w:rPr>
        <w:rFonts w:ascii="Arial" w:hAnsi="Arial"/>
        <w:color w:val="F2F2F2"/>
        <w:sz w:val="22"/>
      </w:rPr>
      <w:tblPr/>
      <w:tcPr>
        <w:shd w:val="clear" w:color="5D8AC2" w:fill="5D8AC2" w:themeFill="accent1" w:themeFillTint="EA"/>
      </w:tcPr>
    </w:tblStylePr>
    <w:tblStylePr w:type="firstCol">
      <w:pPr>
        <w:snapToGrid/>
      </w:pPr>
      <w:rPr>
        <w:rFonts w:ascii="Arial" w:hAnsi="Arial"/>
        <w:color w:val="F2F2F2"/>
        <w:sz w:val="22"/>
      </w:rPr>
      <w:tblPr/>
      <w:tcPr>
        <w:shd w:val="clear" w:color="5D8AC2" w:fill="5D8AC2" w:themeFill="accent1" w:themeFillTint="EA"/>
      </w:tcPr>
    </w:tblStylePr>
    <w:tblStylePr w:type="lastCol">
      <w:pPr>
        <w:snapToGrid/>
      </w:pPr>
      <w:rPr>
        <w:rFonts w:ascii="Arial" w:hAnsi="Arial"/>
        <w:color w:val="F2F2F2"/>
        <w:sz w:val="22"/>
      </w:rPr>
      <w:tblPr/>
      <w:tcPr>
        <w:shd w:val="clear" w:color="5D8AC2"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C7D7EA"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C7D7EA"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1"/>
    <w:uiPriority w:val="99"/>
    <w:qFormat/>
    <w:rPr>
      <w:color w:val="404040"/>
    </w:rPr>
    <w:tblPr/>
    <w:tblStylePr w:type="firstRow">
      <w:pPr>
        <w:snapToGrid/>
      </w:pPr>
      <w:rPr>
        <w:rFonts w:ascii="Arial" w:hAnsi="Arial"/>
        <w:color w:val="F2F2F2"/>
        <w:sz w:val="22"/>
      </w:rPr>
      <w:tblPr/>
      <w:tcPr>
        <w:shd w:val="clear" w:color="D99695" w:fill="D99695" w:themeFill="accent2" w:themeFillTint="97"/>
      </w:tcPr>
    </w:tblStylePr>
    <w:tblStylePr w:type="lastRow">
      <w:pPr>
        <w:snapToGrid/>
      </w:pPr>
      <w:rPr>
        <w:rFonts w:ascii="Arial" w:hAnsi="Arial"/>
        <w:color w:val="F2F2F2"/>
        <w:sz w:val="22"/>
      </w:rPr>
      <w:tblPr/>
      <w:tcPr>
        <w:shd w:val="clear" w:color="D99695" w:fill="D99695" w:themeFill="accent2" w:themeFillTint="97"/>
      </w:tcPr>
    </w:tblStylePr>
    <w:tblStylePr w:type="firstCol">
      <w:pPr>
        <w:snapToGrid/>
      </w:pPr>
      <w:rPr>
        <w:rFonts w:ascii="Arial" w:hAnsi="Arial"/>
        <w:color w:val="F2F2F2"/>
        <w:sz w:val="22"/>
      </w:rPr>
      <w:tblPr/>
      <w:tcPr>
        <w:shd w:val="clear" w:color="D99695" w:fill="D99695" w:themeFill="accent2" w:themeFillTint="97"/>
      </w:tcPr>
    </w:tblStylePr>
    <w:tblStylePr w:type="lastCol">
      <w:pPr>
        <w:snapToGrid/>
      </w:pPr>
      <w:rPr>
        <w:rFonts w:ascii="Arial" w:hAnsi="Arial"/>
        <w:color w:val="F2F2F2"/>
        <w:sz w:val="22"/>
      </w:rPr>
      <w:tblPr/>
      <w:tcPr>
        <w:shd w:val="clear" w:color="D99695"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2DCDC"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2DCDC"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1"/>
    <w:uiPriority w:val="99"/>
    <w:qFormat/>
    <w:rPr>
      <w:color w:val="404040"/>
    </w:rPr>
    <w:tblPr/>
    <w:tblStylePr w:type="firstRow">
      <w:pPr>
        <w:snapToGrid/>
      </w:pPr>
      <w:rPr>
        <w:rFonts w:ascii="Arial" w:hAnsi="Arial"/>
        <w:color w:val="F2F2F2"/>
        <w:sz w:val="22"/>
      </w:rPr>
      <w:tblPr/>
      <w:tcPr>
        <w:shd w:val="clear" w:color="9ABB59" w:fill="9ABB59" w:themeFill="accent3" w:themeFillTint="FE"/>
      </w:tcPr>
    </w:tblStylePr>
    <w:tblStylePr w:type="lastRow">
      <w:pPr>
        <w:snapToGrid/>
      </w:pPr>
      <w:rPr>
        <w:rFonts w:ascii="Arial" w:hAnsi="Arial"/>
        <w:color w:val="F2F2F2"/>
        <w:sz w:val="22"/>
      </w:rPr>
      <w:tblPr/>
      <w:tcPr>
        <w:shd w:val="clear" w:color="9ABB59" w:fill="9ABB59" w:themeFill="accent3" w:themeFillTint="FE"/>
      </w:tcPr>
    </w:tblStylePr>
    <w:tblStylePr w:type="firstCol">
      <w:pPr>
        <w:snapToGrid/>
      </w:pPr>
      <w:rPr>
        <w:rFonts w:ascii="Arial" w:hAnsi="Arial"/>
        <w:color w:val="F2F2F2"/>
        <w:sz w:val="22"/>
      </w:rPr>
      <w:tblPr/>
      <w:tcPr>
        <w:shd w:val="clear" w:color="9ABB59" w:fill="9ABB59" w:themeFill="accent3" w:themeFillTint="FE"/>
      </w:tcPr>
    </w:tblStylePr>
    <w:tblStylePr w:type="lastCol">
      <w:pPr>
        <w:snapToGrid/>
      </w:pPr>
      <w:rPr>
        <w:rFonts w:ascii="Arial" w:hAnsi="Arial"/>
        <w:color w:val="F2F2F2"/>
        <w:sz w:val="22"/>
      </w:rPr>
      <w:tblPr/>
      <w:tcPr>
        <w:shd w:val="clear" w:color="9ABB59"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EAF1DC"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EAF1DC"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1"/>
    <w:uiPriority w:val="99"/>
    <w:qFormat/>
    <w:rPr>
      <w:color w:val="404040"/>
    </w:rPr>
    <w:tblPr/>
    <w:tblStylePr w:type="firstRow">
      <w:pPr>
        <w:snapToGrid/>
      </w:pPr>
      <w:rPr>
        <w:rFonts w:ascii="Arial" w:hAnsi="Arial"/>
        <w:color w:val="F2F2F2"/>
        <w:sz w:val="22"/>
      </w:rPr>
      <w:tblPr/>
      <w:tcPr>
        <w:shd w:val="clear" w:color="B2A1C6" w:fill="B2A1C6" w:themeFill="accent4" w:themeFillTint="9A"/>
      </w:tcPr>
    </w:tblStylePr>
    <w:tblStylePr w:type="lastRow">
      <w:pPr>
        <w:snapToGrid/>
      </w:pPr>
      <w:rPr>
        <w:rFonts w:ascii="Arial" w:hAnsi="Arial"/>
        <w:color w:val="F2F2F2"/>
        <w:sz w:val="22"/>
      </w:rPr>
      <w:tblPr/>
      <w:tcPr>
        <w:shd w:val="clear" w:color="B2A1C6" w:fill="B2A1C6" w:themeFill="accent4" w:themeFillTint="9A"/>
      </w:tcPr>
    </w:tblStylePr>
    <w:tblStylePr w:type="firstCol">
      <w:pPr>
        <w:snapToGrid/>
      </w:pPr>
      <w:rPr>
        <w:rFonts w:ascii="Arial" w:hAnsi="Arial"/>
        <w:color w:val="F2F2F2"/>
        <w:sz w:val="22"/>
      </w:rPr>
      <w:tblPr/>
      <w:tcPr>
        <w:shd w:val="clear" w:color="B2A1C6" w:fill="B2A1C6" w:themeFill="accent4" w:themeFillTint="9A"/>
      </w:tcPr>
    </w:tblStylePr>
    <w:tblStylePr w:type="lastCol">
      <w:pPr>
        <w:snapToGrid/>
      </w:pPr>
      <w:rPr>
        <w:rFonts w:ascii="Arial" w:hAnsi="Arial"/>
        <w:color w:val="F2F2F2"/>
        <w:sz w:val="22"/>
      </w:rPr>
      <w:tblPr/>
      <w:tcPr>
        <w:shd w:val="clear" w:color="B2A1C6"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E5DFEC"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E5DFEC"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1"/>
    <w:uiPriority w:val="99"/>
    <w:qFormat/>
    <w:rPr>
      <w:color w:val="404040"/>
    </w:rPr>
    <w:tblPr/>
    <w:tblStylePr w:type="firstRow">
      <w:pPr>
        <w:snapToGrid/>
      </w:pPr>
      <w:rPr>
        <w:rFonts w:ascii="Arial" w:hAnsi="Arial"/>
        <w:color w:val="F2F2F2"/>
        <w:sz w:val="22"/>
      </w:rPr>
      <w:tblPr/>
      <w:tcPr>
        <w:shd w:val="clear" w:color="4BACC6" w:fill="4BACC6" w:themeFill="accent5"/>
      </w:tcPr>
    </w:tblStylePr>
    <w:tblStylePr w:type="lastRow">
      <w:pPr>
        <w:snapToGrid/>
      </w:pPr>
      <w:rPr>
        <w:rFonts w:ascii="Arial" w:hAnsi="Arial"/>
        <w:color w:val="F2F2F2"/>
        <w:sz w:val="22"/>
      </w:rPr>
      <w:tblPr/>
      <w:tcPr>
        <w:shd w:val="clear" w:color="4BACC6" w:fill="4BACC6" w:themeFill="accent5"/>
      </w:tcPr>
    </w:tblStylePr>
    <w:tblStylePr w:type="firstCol">
      <w:pPr>
        <w:snapToGrid/>
      </w:pPr>
      <w:rPr>
        <w:rFonts w:ascii="Arial" w:hAnsi="Arial"/>
        <w:color w:val="F2F2F2"/>
        <w:sz w:val="22"/>
      </w:rPr>
      <w:tblPr/>
      <w:tcPr>
        <w:shd w:val="clear" w:color="4BACC6" w:fill="4BACC6" w:themeFill="accent5"/>
      </w:tcPr>
    </w:tblStylePr>
    <w:tblStylePr w:type="lastCol">
      <w:pPr>
        <w:snapToGrid/>
      </w:pPr>
      <w:rPr>
        <w:rFonts w:ascii="Arial" w:hAnsi="Arial"/>
        <w:color w:val="F2F2F2"/>
        <w:sz w:val="22"/>
      </w:rPr>
      <w:tblPr/>
      <w:tcPr>
        <w:shd w:val="clear" w:color="4BACC6"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DAEEF3"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DAEEF3"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1"/>
    <w:uiPriority w:val="99"/>
    <w:qFormat/>
    <w:rPr>
      <w:color w:val="404040"/>
    </w:rPr>
    <w:tblPr/>
    <w:tblStylePr w:type="firstRow">
      <w:pPr>
        <w:snapToGrid/>
      </w:pPr>
      <w:rPr>
        <w:rFonts w:ascii="Arial" w:hAnsi="Arial"/>
        <w:color w:val="F2F2F2"/>
        <w:sz w:val="22"/>
      </w:rPr>
      <w:tblPr/>
      <w:tcPr>
        <w:shd w:val="clear" w:color="F79646" w:fill="F79646" w:themeFill="accent6"/>
      </w:tcPr>
    </w:tblStylePr>
    <w:tblStylePr w:type="lastRow">
      <w:pPr>
        <w:snapToGrid/>
      </w:pPr>
      <w:rPr>
        <w:rFonts w:ascii="Arial" w:hAnsi="Arial"/>
        <w:color w:val="F2F2F2"/>
        <w:sz w:val="22"/>
      </w:rPr>
      <w:tblPr/>
      <w:tcPr>
        <w:shd w:val="clear" w:color="F79646" w:fill="F79646" w:themeFill="accent6"/>
      </w:tcPr>
    </w:tblStylePr>
    <w:tblStylePr w:type="firstCol">
      <w:pPr>
        <w:snapToGrid/>
      </w:pPr>
      <w:rPr>
        <w:rFonts w:ascii="Arial" w:hAnsi="Arial"/>
        <w:color w:val="F2F2F2"/>
        <w:sz w:val="22"/>
      </w:rPr>
      <w:tblPr/>
      <w:tcPr>
        <w:shd w:val="clear" w:color="F79646" w:fill="F79646" w:themeFill="accent6"/>
      </w:tcPr>
    </w:tblStylePr>
    <w:tblStylePr w:type="lastCol">
      <w:pPr>
        <w:snapToGrid/>
      </w:pPr>
      <w:rPr>
        <w:rFonts w:ascii="Arial" w:hAnsi="Arial"/>
        <w:color w:val="F2F2F2"/>
        <w:sz w:val="22"/>
      </w:rPr>
      <w:tblPr/>
      <w:tcPr>
        <w:shd w:val="clear" w:color="F79646"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DE9D8"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DE9D8"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1"/>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pPr>
        <w:snapToGrid/>
      </w:pPr>
      <w:rPr>
        <w:rFonts w:ascii="Arial" w:hAnsi="Arial"/>
        <w:color w:val="F2F2F2"/>
        <w:sz w:val="22"/>
      </w:rPr>
      <w:tblPr/>
      <w:tcPr>
        <w:shd w:val="clear" w:color="7F7F7F" w:fill="7F7F7F" w:themeFill="text1" w:themeFillTint="80"/>
      </w:tcPr>
    </w:tblStylePr>
    <w:tblStylePr w:type="lastRow">
      <w:pPr>
        <w:snapToGrid/>
      </w:pPr>
      <w:rPr>
        <w:rFonts w:ascii="Arial" w:hAnsi="Arial"/>
        <w:color w:val="F2F2F2"/>
        <w:sz w:val="22"/>
      </w:rPr>
      <w:tblPr/>
      <w:tcPr>
        <w:shd w:val="clear" w:color="7F7F7F" w:fill="7F7F7F" w:themeFill="text1" w:themeFillTint="80"/>
      </w:tcPr>
    </w:tblStylePr>
    <w:tblStylePr w:type="firstCol">
      <w:pPr>
        <w:snapToGrid/>
      </w:pPr>
      <w:rPr>
        <w:rFonts w:ascii="Arial" w:hAnsi="Arial"/>
        <w:color w:val="F2F2F2"/>
        <w:sz w:val="22"/>
      </w:rPr>
      <w:tblPr/>
      <w:tcPr>
        <w:shd w:val="clear" w:color="7F7F7F" w:fill="7F7F7F" w:themeFill="text1" w:themeFillTint="80"/>
      </w:tcPr>
    </w:tblStylePr>
    <w:tblStylePr w:type="lastCol">
      <w:pPr>
        <w:snapToGrid/>
      </w:pPr>
      <w:rPr>
        <w:rFonts w:ascii="Arial" w:hAnsi="Arial"/>
        <w:color w:val="F2F2F2"/>
        <w:sz w:val="22"/>
      </w:rPr>
      <w:tblPr/>
      <w:tcPr>
        <w:shd w:val="clear" w:color="7F7F7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2F2F2"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2F2F2"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1"/>
    <w:uiPriority w:val="99"/>
    <w:qFormat/>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pPr>
        <w:snapToGrid/>
      </w:pPr>
      <w:rPr>
        <w:rFonts w:ascii="Arial" w:hAnsi="Arial"/>
        <w:color w:val="F2F2F2"/>
        <w:sz w:val="22"/>
      </w:rPr>
      <w:tblPr/>
      <w:tcPr>
        <w:shd w:val="clear" w:color="5D8AC2" w:fill="5D8AC2" w:themeFill="accent1" w:themeFillTint="EA"/>
      </w:tcPr>
    </w:tblStylePr>
    <w:tblStylePr w:type="lastRow">
      <w:pPr>
        <w:snapToGrid/>
      </w:pPr>
      <w:rPr>
        <w:rFonts w:ascii="Arial" w:hAnsi="Arial"/>
        <w:color w:val="F2F2F2"/>
        <w:sz w:val="22"/>
      </w:rPr>
      <w:tblPr/>
      <w:tcPr>
        <w:shd w:val="clear" w:color="5D8AC2" w:fill="5D8AC2" w:themeFill="accent1" w:themeFillTint="EA"/>
      </w:tcPr>
    </w:tblStylePr>
    <w:tblStylePr w:type="firstCol">
      <w:pPr>
        <w:snapToGrid/>
      </w:pPr>
      <w:rPr>
        <w:rFonts w:ascii="Arial" w:hAnsi="Arial"/>
        <w:color w:val="F2F2F2"/>
        <w:sz w:val="22"/>
      </w:rPr>
      <w:tblPr/>
      <w:tcPr>
        <w:shd w:val="clear" w:color="5D8AC2" w:fill="5D8AC2" w:themeFill="accent1" w:themeFillTint="EA"/>
      </w:tcPr>
    </w:tblStylePr>
    <w:tblStylePr w:type="lastCol">
      <w:pPr>
        <w:snapToGrid/>
      </w:pPr>
      <w:rPr>
        <w:rFonts w:ascii="Arial" w:hAnsi="Arial"/>
        <w:color w:val="F2F2F2"/>
        <w:sz w:val="22"/>
      </w:rPr>
      <w:tblPr/>
      <w:tcPr>
        <w:shd w:val="clear" w:color="5D8AC2"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C7D7EA"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C7D7EA"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1"/>
    <w:uiPriority w:val="99"/>
    <w:qFormat/>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pPr>
        <w:snapToGrid/>
      </w:pPr>
      <w:rPr>
        <w:rFonts w:ascii="Arial" w:hAnsi="Arial"/>
        <w:color w:val="F2F2F2"/>
        <w:sz w:val="22"/>
      </w:rPr>
      <w:tblPr/>
      <w:tcPr>
        <w:shd w:val="clear" w:color="D99695" w:fill="D99695" w:themeFill="accent2" w:themeFillTint="97"/>
      </w:tcPr>
    </w:tblStylePr>
    <w:tblStylePr w:type="lastRow">
      <w:pPr>
        <w:snapToGrid/>
      </w:pPr>
      <w:rPr>
        <w:rFonts w:ascii="Arial" w:hAnsi="Arial"/>
        <w:color w:val="F2F2F2"/>
        <w:sz w:val="22"/>
      </w:rPr>
      <w:tblPr/>
      <w:tcPr>
        <w:shd w:val="clear" w:color="D99695" w:fill="D99695" w:themeFill="accent2" w:themeFillTint="97"/>
      </w:tcPr>
    </w:tblStylePr>
    <w:tblStylePr w:type="firstCol">
      <w:pPr>
        <w:snapToGrid/>
      </w:pPr>
      <w:rPr>
        <w:rFonts w:ascii="Arial" w:hAnsi="Arial"/>
        <w:color w:val="F2F2F2"/>
        <w:sz w:val="22"/>
      </w:rPr>
      <w:tblPr/>
      <w:tcPr>
        <w:shd w:val="clear" w:color="D99695" w:fill="D99695" w:themeFill="accent2" w:themeFillTint="97"/>
      </w:tcPr>
    </w:tblStylePr>
    <w:tblStylePr w:type="lastCol">
      <w:pPr>
        <w:snapToGrid/>
      </w:pPr>
      <w:rPr>
        <w:rFonts w:ascii="Arial" w:hAnsi="Arial"/>
        <w:color w:val="F2F2F2"/>
        <w:sz w:val="22"/>
      </w:rPr>
      <w:tblPr/>
      <w:tcPr>
        <w:shd w:val="clear" w:color="D99695"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2DCDC"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2DCDC"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1"/>
    <w:uiPriority w:val="99"/>
    <w:qFormat/>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pPr>
        <w:snapToGrid/>
      </w:pPr>
      <w:rPr>
        <w:rFonts w:ascii="Arial" w:hAnsi="Arial"/>
        <w:color w:val="F2F2F2"/>
        <w:sz w:val="22"/>
      </w:rPr>
      <w:tblPr/>
      <w:tcPr>
        <w:shd w:val="clear" w:color="9ABB59" w:fill="9ABB59" w:themeFill="accent3" w:themeFillTint="FE"/>
      </w:tcPr>
    </w:tblStylePr>
    <w:tblStylePr w:type="lastRow">
      <w:pPr>
        <w:snapToGrid/>
      </w:pPr>
      <w:rPr>
        <w:rFonts w:ascii="Arial" w:hAnsi="Arial"/>
        <w:color w:val="F2F2F2"/>
        <w:sz w:val="22"/>
      </w:rPr>
      <w:tblPr/>
      <w:tcPr>
        <w:shd w:val="clear" w:color="9ABB59" w:fill="9ABB59" w:themeFill="accent3" w:themeFillTint="FE"/>
      </w:tcPr>
    </w:tblStylePr>
    <w:tblStylePr w:type="firstCol">
      <w:pPr>
        <w:snapToGrid/>
      </w:pPr>
      <w:rPr>
        <w:rFonts w:ascii="Arial" w:hAnsi="Arial"/>
        <w:color w:val="F2F2F2"/>
        <w:sz w:val="22"/>
      </w:rPr>
      <w:tblPr/>
      <w:tcPr>
        <w:shd w:val="clear" w:color="9ABB59" w:fill="9ABB59" w:themeFill="accent3" w:themeFillTint="FE"/>
      </w:tcPr>
    </w:tblStylePr>
    <w:tblStylePr w:type="lastCol">
      <w:pPr>
        <w:snapToGrid/>
      </w:pPr>
      <w:rPr>
        <w:rFonts w:ascii="Arial" w:hAnsi="Arial"/>
        <w:color w:val="F2F2F2"/>
        <w:sz w:val="22"/>
      </w:rPr>
      <w:tblPr/>
      <w:tcPr>
        <w:shd w:val="clear" w:color="9ABB59"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EAF1DC"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EAF1DC"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1"/>
    <w:uiPriority w:val="99"/>
    <w:qFormat/>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pPr>
        <w:snapToGrid/>
      </w:pPr>
      <w:rPr>
        <w:rFonts w:ascii="Arial" w:hAnsi="Arial"/>
        <w:color w:val="F2F2F2"/>
        <w:sz w:val="22"/>
      </w:rPr>
      <w:tblPr/>
      <w:tcPr>
        <w:shd w:val="clear" w:color="B2A1C6" w:fill="B2A1C6" w:themeFill="accent4" w:themeFillTint="9A"/>
      </w:tcPr>
    </w:tblStylePr>
    <w:tblStylePr w:type="lastRow">
      <w:pPr>
        <w:snapToGrid/>
      </w:pPr>
      <w:rPr>
        <w:rFonts w:ascii="Arial" w:hAnsi="Arial"/>
        <w:color w:val="F2F2F2"/>
        <w:sz w:val="22"/>
      </w:rPr>
      <w:tblPr/>
      <w:tcPr>
        <w:shd w:val="clear" w:color="B2A1C6" w:fill="B2A1C6" w:themeFill="accent4" w:themeFillTint="9A"/>
      </w:tcPr>
    </w:tblStylePr>
    <w:tblStylePr w:type="firstCol">
      <w:pPr>
        <w:snapToGrid/>
      </w:pPr>
      <w:rPr>
        <w:rFonts w:ascii="Arial" w:hAnsi="Arial"/>
        <w:color w:val="F2F2F2"/>
        <w:sz w:val="22"/>
      </w:rPr>
      <w:tblPr/>
      <w:tcPr>
        <w:shd w:val="clear" w:color="B2A1C6" w:fill="B2A1C6" w:themeFill="accent4" w:themeFillTint="9A"/>
      </w:tcPr>
    </w:tblStylePr>
    <w:tblStylePr w:type="lastCol">
      <w:pPr>
        <w:snapToGrid/>
      </w:pPr>
      <w:rPr>
        <w:rFonts w:ascii="Arial" w:hAnsi="Arial"/>
        <w:color w:val="F2F2F2"/>
        <w:sz w:val="22"/>
      </w:rPr>
      <w:tblPr/>
      <w:tcPr>
        <w:shd w:val="clear" w:color="B2A1C6"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E5DFEC"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E5DFEC"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1"/>
    <w:uiPriority w:val="99"/>
    <w:qFormat/>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pPr>
        <w:snapToGrid/>
      </w:pPr>
      <w:rPr>
        <w:rFonts w:ascii="Arial" w:hAnsi="Arial"/>
        <w:color w:val="F2F2F2"/>
        <w:sz w:val="22"/>
      </w:rPr>
      <w:tblPr/>
      <w:tcPr>
        <w:shd w:val="clear" w:color="4BACC6" w:fill="4BACC6" w:themeFill="accent5"/>
      </w:tcPr>
    </w:tblStylePr>
    <w:tblStylePr w:type="lastRow">
      <w:pPr>
        <w:snapToGrid/>
      </w:pPr>
      <w:rPr>
        <w:rFonts w:ascii="Arial" w:hAnsi="Arial"/>
        <w:color w:val="F2F2F2"/>
        <w:sz w:val="22"/>
      </w:rPr>
      <w:tblPr/>
      <w:tcPr>
        <w:shd w:val="clear" w:color="4BACC6" w:fill="4BACC6" w:themeFill="accent5"/>
      </w:tcPr>
    </w:tblStylePr>
    <w:tblStylePr w:type="firstCol">
      <w:pPr>
        <w:snapToGrid/>
      </w:pPr>
      <w:rPr>
        <w:rFonts w:ascii="Arial" w:hAnsi="Arial"/>
        <w:color w:val="F2F2F2"/>
        <w:sz w:val="22"/>
      </w:rPr>
      <w:tblPr/>
      <w:tcPr>
        <w:shd w:val="clear" w:color="4BACC6" w:fill="4BACC6" w:themeFill="accent5"/>
      </w:tcPr>
    </w:tblStylePr>
    <w:tblStylePr w:type="lastCol">
      <w:pPr>
        <w:snapToGrid/>
      </w:pPr>
      <w:rPr>
        <w:rFonts w:ascii="Arial" w:hAnsi="Arial"/>
        <w:color w:val="F2F2F2"/>
        <w:sz w:val="22"/>
      </w:rPr>
      <w:tblPr/>
      <w:tcPr>
        <w:shd w:val="clear" w:color="4BACC6"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DAEEF3"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DAEEF3"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1"/>
    <w:uiPriority w:val="99"/>
    <w:qFormat/>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pPr>
        <w:snapToGrid/>
      </w:pPr>
      <w:rPr>
        <w:rFonts w:ascii="Arial" w:hAnsi="Arial"/>
        <w:color w:val="F2F2F2"/>
        <w:sz w:val="22"/>
      </w:rPr>
      <w:tblPr/>
      <w:tcPr>
        <w:shd w:val="clear" w:color="F79646" w:fill="F79646" w:themeFill="accent6"/>
      </w:tcPr>
    </w:tblStylePr>
    <w:tblStylePr w:type="lastRow">
      <w:pPr>
        <w:snapToGrid/>
      </w:pPr>
      <w:rPr>
        <w:rFonts w:ascii="Arial" w:hAnsi="Arial"/>
        <w:color w:val="F2F2F2"/>
        <w:sz w:val="22"/>
      </w:rPr>
      <w:tblPr/>
      <w:tcPr>
        <w:shd w:val="clear" w:color="F79646" w:fill="F79646" w:themeFill="accent6"/>
      </w:tcPr>
    </w:tblStylePr>
    <w:tblStylePr w:type="firstCol">
      <w:pPr>
        <w:snapToGrid/>
      </w:pPr>
      <w:rPr>
        <w:rFonts w:ascii="Arial" w:hAnsi="Arial"/>
        <w:color w:val="F2F2F2"/>
        <w:sz w:val="22"/>
      </w:rPr>
      <w:tblPr/>
      <w:tcPr>
        <w:shd w:val="clear" w:color="F79646" w:fill="F79646" w:themeFill="accent6"/>
      </w:tcPr>
    </w:tblStylePr>
    <w:tblStylePr w:type="lastCol">
      <w:pPr>
        <w:snapToGrid/>
      </w:pPr>
      <w:rPr>
        <w:rFonts w:ascii="Arial" w:hAnsi="Arial"/>
        <w:color w:val="F2F2F2"/>
        <w:sz w:val="22"/>
      </w:rPr>
      <w:tblPr/>
      <w:tcPr>
        <w:shd w:val="clear" w:color="F79646"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DE9D8"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DE9D8"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1"/>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1"/>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pPr>
        <w:snapToGrid/>
      </w:pPr>
      <w:rPr>
        <w:rFonts w:ascii="Arial" w:hAnsi="Arial"/>
        <w:color w:val="404040"/>
        <w:sz w:val="22"/>
      </w:rPr>
      <w:tblPr/>
      <w:tcPr>
        <w:tcBorders>
          <w:bottom w:val="single" w:sz="12" w:space="0" w:color="4F81BD" w:themeColor="accent1"/>
        </w:tcBorders>
      </w:tcPr>
    </w:tblStylePr>
    <w:tblStylePr w:type="lastRow">
      <w:pPr>
        <w:snapToGrid/>
      </w:pPr>
      <w:rPr>
        <w:rFonts w:ascii="Arial" w:hAnsi="Arial"/>
        <w:color w:val="404040"/>
        <w:sz w:val="22"/>
      </w:rPr>
      <w:tblPr/>
      <w:tcPr>
        <w:tcBorders>
          <w:top w:val="single" w:sz="12" w:space="0" w:color="4F81BD"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4F81BD"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1"/>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pPr>
        <w:snapToGrid/>
      </w:pPr>
      <w:rPr>
        <w:rFonts w:ascii="Arial" w:hAnsi="Arial"/>
        <w:color w:val="404040"/>
        <w:sz w:val="22"/>
      </w:rPr>
      <w:tblPr/>
      <w:tcPr>
        <w:tcBorders>
          <w:bottom w:val="single" w:sz="12" w:space="0" w:color="D99695" w:themeColor="accent2" w:themeTint="97"/>
        </w:tcBorders>
      </w:tcPr>
    </w:tblStylePr>
    <w:tblStylePr w:type="lastRow">
      <w:pPr>
        <w:snapToGrid/>
      </w:pPr>
      <w:rPr>
        <w:rFonts w:ascii="Arial" w:hAnsi="Arial"/>
        <w:color w:val="404040"/>
        <w:sz w:val="22"/>
      </w:rPr>
      <w:tblPr/>
      <w:tcPr>
        <w:tcBorders>
          <w:top w:val="single" w:sz="12" w:space="0" w:color="D99695"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D99695"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1"/>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pPr>
        <w:snapToGrid/>
      </w:pPr>
      <w:rPr>
        <w:rFonts w:ascii="Arial" w:hAnsi="Arial"/>
        <w:color w:val="404040"/>
        <w:sz w:val="22"/>
      </w:rPr>
      <w:tblPr/>
      <w:tcPr>
        <w:tcBorders>
          <w:bottom w:val="single" w:sz="12" w:space="0" w:color="C3D69B" w:themeColor="accent3" w:themeTint="98"/>
        </w:tcBorders>
      </w:tcPr>
    </w:tblStylePr>
    <w:tblStylePr w:type="lastRow">
      <w:pPr>
        <w:snapToGrid/>
      </w:pPr>
      <w:rPr>
        <w:rFonts w:ascii="Arial" w:hAnsi="Arial"/>
        <w:color w:val="404040"/>
        <w:sz w:val="22"/>
      </w:rPr>
      <w:tblPr/>
      <w:tcPr>
        <w:tcBorders>
          <w:top w:val="single" w:sz="12" w:space="0" w:color="C3D69B"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3D69B"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1"/>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pPr>
        <w:snapToGrid/>
      </w:pPr>
      <w:rPr>
        <w:rFonts w:ascii="Arial" w:hAnsi="Arial"/>
        <w:color w:val="404040"/>
        <w:sz w:val="22"/>
      </w:rPr>
      <w:tblPr/>
      <w:tcPr>
        <w:tcBorders>
          <w:bottom w:val="single" w:sz="12" w:space="0" w:color="B2A1C6" w:themeColor="accent4" w:themeTint="9A"/>
        </w:tcBorders>
      </w:tcPr>
    </w:tblStylePr>
    <w:tblStylePr w:type="lastRow">
      <w:pPr>
        <w:snapToGrid/>
      </w:pPr>
      <w:rPr>
        <w:rFonts w:ascii="Arial" w:hAnsi="Arial"/>
        <w:color w:val="404040"/>
        <w:sz w:val="22"/>
      </w:rPr>
      <w:tblPr/>
      <w:tcPr>
        <w:tcBorders>
          <w:top w:val="single" w:sz="12" w:space="0" w:color="B2A1C6"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B2A1C6"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1"/>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pPr>
        <w:snapToGrid/>
      </w:pPr>
      <w:rPr>
        <w:rFonts w:ascii="Arial" w:hAnsi="Arial"/>
        <w:color w:val="404040"/>
        <w:sz w:val="22"/>
      </w:rPr>
      <w:tblPr/>
      <w:tcPr>
        <w:tcBorders>
          <w:bottom w:val="single" w:sz="12" w:space="0" w:color="92CCDC" w:themeColor="accent5" w:themeTint="9A"/>
        </w:tcBorders>
      </w:tcPr>
    </w:tblStylePr>
    <w:tblStylePr w:type="lastRow">
      <w:pPr>
        <w:snapToGrid/>
      </w:pPr>
      <w:rPr>
        <w:rFonts w:ascii="Arial" w:hAnsi="Arial"/>
        <w:color w:val="404040"/>
        <w:sz w:val="22"/>
      </w:rPr>
      <w:tblPr/>
      <w:tcPr>
        <w:tcBorders>
          <w:top w:val="single" w:sz="12" w:space="0" w:color="92CCDC"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92CCDC"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1"/>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pPr>
        <w:snapToGrid/>
      </w:pPr>
      <w:rPr>
        <w:rFonts w:ascii="Arial" w:hAnsi="Arial"/>
        <w:color w:val="404040"/>
        <w:sz w:val="22"/>
      </w:rPr>
      <w:tblPr/>
      <w:tcPr>
        <w:tcBorders>
          <w:bottom w:val="single" w:sz="12" w:space="0" w:color="FAC090" w:themeColor="accent6" w:themeTint="98"/>
        </w:tcBorders>
      </w:tcPr>
    </w:tblStylePr>
    <w:tblStylePr w:type="lastRow">
      <w:pPr>
        <w:snapToGrid/>
      </w:pPr>
      <w:rPr>
        <w:rFonts w:ascii="Arial" w:hAnsi="Arial"/>
        <w:color w:val="404040"/>
        <w:sz w:val="22"/>
      </w:rPr>
      <w:tblPr/>
      <w:tcPr>
        <w:tcBorders>
          <w:top w:val="single" w:sz="12" w:space="0" w:color="FAC090"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AC090"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af2">
    <w:name w:val="脚注文本 字符"/>
    <w:link w:val="af1"/>
    <w:qFormat/>
    <w:rPr>
      <w:sz w:val="18"/>
    </w:rPr>
  </w:style>
  <w:style w:type="paragraph" w:customStyle="1" w:styleId="TOC1">
    <w:name w:val="TOC 标题1"/>
    <w:uiPriority w:val="39"/>
    <w:unhideWhenUsed/>
    <w:qFormat/>
    <w:rPr>
      <w:sz w:val="22"/>
      <w:szCs w:val="22"/>
    </w:rPr>
  </w:style>
  <w:style w:type="paragraph" w:customStyle="1" w:styleId="16">
    <w:name w:val="页眉1"/>
    <w:basedOn w:val="a"/>
    <w:link w:val="Char"/>
    <w:qFormat/>
    <w:pPr>
      <w:pBdr>
        <w:bottom w:val="single" w:sz="6" w:space="1" w:color="auto"/>
      </w:pBdr>
      <w:tabs>
        <w:tab w:val="center" w:pos="4153"/>
        <w:tab w:val="right" w:pos="8306"/>
      </w:tabs>
      <w:jc w:val="center"/>
    </w:pPr>
    <w:rPr>
      <w:rFonts w:eastAsia="宋体"/>
      <w:sz w:val="18"/>
    </w:rPr>
  </w:style>
  <w:style w:type="character" w:customStyle="1" w:styleId="a8">
    <w:name w:val="正文文本 字符"/>
    <w:link w:val="a7"/>
    <w:qFormat/>
    <w:rPr>
      <w:rFonts w:ascii="宋体"/>
      <w:sz w:val="20"/>
      <w:lang w:val="zh-CN"/>
    </w:rPr>
  </w:style>
  <w:style w:type="character" w:customStyle="1" w:styleId="unnamed11">
    <w:name w:val="unnamed11"/>
    <w:qFormat/>
    <w:rPr>
      <w:rFonts w:ascii="宋体" w:eastAsia="宋体" w:hAnsi="宋体" w:hint="eastAsia"/>
      <w:sz w:val="18"/>
    </w:rPr>
  </w:style>
  <w:style w:type="character" w:customStyle="1" w:styleId="af6">
    <w:name w:val="标题 字符"/>
    <w:link w:val="af5"/>
    <w:qFormat/>
    <w:rPr>
      <w:rFonts w:ascii="Cambria" w:hAnsi="Cambria"/>
      <w:b/>
      <w:sz w:val="28"/>
      <w:lang w:val="zh-CN"/>
    </w:rPr>
  </w:style>
  <w:style w:type="character" w:customStyle="1" w:styleId="Char">
    <w:name w:val="页眉 Char"/>
    <w:link w:val="16"/>
    <w:qFormat/>
    <w:rPr>
      <w:rFonts w:eastAsia="宋体"/>
      <w:sz w:val="18"/>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pPr>
    <w:rPr>
      <w:rFonts w:ascii="宋体"/>
      <w:color w:val="000000"/>
      <w:sz w:val="24"/>
      <w:szCs w:val="22"/>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numPr>
        <w:numId w:val="1"/>
      </w:numPr>
      <w:jc w:val="left"/>
    </w:pPr>
    <w:rPr>
      <w:sz w:val="24"/>
    </w:rPr>
  </w:style>
  <w:style w:type="paragraph" w:customStyle="1" w:styleId="msonormal1">
    <w:name w:val="msonormal1"/>
    <w:qFormat/>
    <w:pPr>
      <w:widowControl w:val="0"/>
      <w:jc w:val="both"/>
    </w:pPr>
    <w:rPr>
      <w:sz w:val="21"/>
      <w:szCs w:val="22"/>
    </w:rPr>
  </w:style>
  <w:style w:type="paragraph" w:customStyle="1" w:styleId="aff3">
    <w:name w:val="正文正文"/>
    <w:basedOn w:val="a"/>
    <w:qFormat/>
    <w:pPr>
      <w:spacing w:line="360" w:lineRule="auto"/>
      <w:ind w:firstLine="200"/>
    </w:pPr>
    <w:rPr>
      <w:sz w:val="24"/>
    </w:rPr>
  </w:style>
  <w:style w:type="paragraph" w:customStyle="1" w:styleId="Char0">
    <w:name w:val="Char"/>
    <w:basedOn w:val="a"/>
    <w:qFormat/>
  </w:style>
  <w:style w:type="paragraph" w:customStyle="1" w:styleId="Char2">
    <w:name w:val="Char2"/>
    <w:basedOn w:val="a"/>
    <w:qFormat/>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f4">
    <w:name w:val="正文所"/>
    <w:basedOn w:val="a"/>
    <w:qFormat/>
    <w:pPr>
      <w:spacing w:line="360" w:lineRule="auto"/>
      <w:ind w:firstLine="420"/>
    </w:pPr>
    <w:rPr>
      <w:rFonts w:ascii="宋体"/>
    </w:rPr>
  </w:style>
  <w:style w:type="paragraph" w:customStyle="1" w:styleId="CharChar3">
    <w:name w:val="Char Char3"/>
    <w:basedOn w:val="a"/>
    <w:qFormat/>
  </w:style>
  <w:style w:type="character" w:customStyle="1" w:styleId="a6">
    <w:name w:val="批注文字 字符"/>
    <w:link w:val="a5"/>
    <w:qFormat/>
    <w:rPr>
      <w:sz w:val="21"/>
      <w:lang w:val="zh-CN"/>
    </w:rPr>
  </w:style>
  <w:style w:type="paragraph" w:customStyle="1" w:styleId="17">
    <w:name w:val="修订1"/>
    <w:hidden/>
    <w:semiHidden/>
    <w:qFormat/>
    <w:rPr>
      <w:sz w:val="21"/>
      <w:szCs w:val="22"/>
    </w:rPr>
  </w:style>
  <w:style w:type="paragraph" w:customStyle="1" w:styleId="CharChar2">
    <w:name w:val="Char Char2"/>
    <w:basedOn w:val="a"/>
    <w:qFormat/>
  </w:style>
  <w:style w:type="paragraph" w:customStyle="1" w:styleId="Char1">
    <w:name w:val="Char1"/>
    <w:basedOn w:val="a"/>
    <w:qFormat/>
  </w:style>
  <w:style w:type="paragraph" w:customStyle="1" w:styleId="CharCharChar1">
    <w:name w:val="Char Char Char1"/>
    <w:basedOn w:val="a"/>
    <w:qFormat/>
  </w:style>
  <w:style w:type="paragraph" w:customStyle="1" w:styleId="CharCharCharChar1">
    <w:name w:val="Char Char Char Char1"/>
    <w:basedOn w:val="a"/>
    <w:qFormat/>
    <w:pPr>
      <w:tabs>
        <w:tab w:val="left" w:pos="360"/>
      </w:tabs>
    </w:pPr>
  </w:style>
  <w:style w:type="paragraph" w:customStyle="1" w:styleId="CharChar11">
    <w:name w:val="Char Char11"/>
    <w:basedOn w:val="a"/>
    <w:qFormat/>
  </w:style>
  <w:style w:type="paragraph" w:customStyle="1" w:styleId="18">
    <w:name w:val="1"/>
    <w:basedOn w:val="a"/>
    <w:qFormat/>
    <w:pPr>
      <w:widowControl/>
      <w:spacing w:before="100" w:beforeAutospacing="1" w:after="100" w:afterAutospacing="1"/>
      <w:jc w:val="left"/>
    </w:pPr>
    <w:rPr>
      <w:rFonts w:ascii="宋体" w:hAnsi="宋体" w:cs="宋体"/>
      <w:sz w:val="24"/>
      <w:szCs w:val="24"/>
    </w:rPr>
  </w:style>
  <w:style w:type="paragraph" w:customStyle="1" w:styleId="19">
    <w:name w:val="列出段落1"/>
    <w:basedOn w:val="a"/>
    <w:qFormat/>
    <w:pPr>
      <w:ind w:firstLine="420"/>
    </w:pPr>
  </w:style>
  <w:style w:type="paragraph" w:customStyle="1" w:styleId="CharChar4">
    <w:name w:val="Char Char4"/>
    <w:basedOn w:val="a"/>
    <w:qFormat/>
  </w:style>
  <w:style w:type="paragraph" w:customStyle="1" w:styleId="CharChar5">
    <w:name w:val="Char Char5"/>
    <w:basedOn w:val="a"/>
    <w:qFormat/>
  </w:style>
  <w:style w:type="paragraph" w:customStyle="1" w:styleId="23">
    <w:name w:val="修订2"/>
    <w:hidden/>
    <w:uiPriority w:val="99"/>
    <w:semiHidden/>
    <w:qFormat/>
    <w:rPr>
      <w:sz w:val="21"/>
      <w:szCs w:val="22"/>
    </w:rPr>
  </w:style>
  <w:style w:type="paragraph" w:customStyle="1" w:styleId="24">
    <w:name w:val="列出段落2"/>
    <w:basedOn w:val="a"/>
    <w:uiPriority w:val="34"/>
    <w:qFormat/>
    <w:pPr>
      <w:widowControl/>
      <w:ind w:firstLine="420"/>
    </w:pPr>
    <w:rPr>
      <w:szCs w:val="21"/>
    </w:rPr>
  </w:style>
  <w:style w:type="paragraph" w:customStyle="1" w:styleId="CharChar6">
    <w:name w:val="Char Char6"/>
    <w:basedOn w:val="a"/>
    <w:qFormat/>
  </w:style>
  <w:style w:type="paragraph" w:customStyle="1" w:styleId="33">
    <w:name w:val="修订3"/>
    <w:hidden/>
    <w:uiPriority w:val="99"/>
    <w:semiHidden/>
    <w:qFormat/>
    <w:rPr>
      <w:sz w:val="21"/>
      <w:szCs w:val="22"/>
    </w:rPr>
  </w:style>
  <w:style w:type="paragraph" w:styleId="aff5">
    <w:name w:val="List Paragraph"/>
    <w:basedOn w:val="a"/>
    <w:qFormat/>
    <w:pPr>
      <w:ind w:firstLine="420"/>
    </w:pPr>
  </w:style>
  <w:style w:type="paragraph" w:customStyle="1" w:styleId="25">
    <w:name w:val="页眉2"/>
    <w:basedOn w:val="a"/>
    <w:link w:val="aff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ff6">
    <w:name w:val="页眉 字符"/>
    <w:basedOn w:val="a0"/>
    <w:link w:val="25"/>
    <w:qFormat/>
    <w:rPr>
      <w:sz w:val="18"/>
      <w:szCs w:val="18"/>
    </w:rPr>
  </w:style>
  <w:style w:type="paragraph" w:customStyle="1" w:styleId="26">
    <w:name w:val="页脚2"/>
    <w:basedOn w:val="a"/>
    <w:link w:val="aff7"/>
    <w:uiPriority w:val="99"/>
    <w:unhideWhenUsed/>
    <w:qFormat/>
    <w:pPr>
      <w:tabs>
        <w:tab w:val="center" w:pos="4153"/>
        <w:tab w:val="right" w:pos="8306"/>
      </w:tabs>
      <w:snapToGrid w:val="0"/>
      <w:jc w:val="left"/>
    </w:pPr>
    <w:rPr>
      <w:sz w:val="18"/>
      <w:szCs w:val="18"/>
    </w:rPr>
  </w:style>
  <w:style w:type="character" w:customStyle="1" w:styleId="aff7">
    <w:name w:val="页脚 字符"/>
    <w:basedOn w:val="a0"/>
    <w:link w:val="26"/>
    <w:uiPriority w:val="99"/>
    <w:qFormat/>
    <w:rPr>
      <w:sz w:val="18"/>
      <w:szCs w:val="18"/>
    </w:rPr>
  </w:style>
  <w:style w:type="character" w:customStyle="1" w:styleId="12">
    <w:name w:val="页眉 字符1"/>
    <w:basedOn w:val="a0"/>
    <w:link w:val="ae"/>
    <w:uiPriority w:val="99"/>
    <w:qFormat/>
    <w:rPr>
      <w:sz w:val="18"/>
      <w:szCs w:val="18"/>
    </w:rPr>
  </w:style>
  <w:style w:type="character" w:customStyle="1" w:styleId="11">
    <w:name w:val="页脚 字符1"/>
    <w:basedOn w:val="a0"/>
    <w:link w:val="ad"/>
    <w:uiPriority w:val="99"/>
    <w:qFormat/>
    <w:rPr>
      <w:sz w:val="18"/>
      <w:szCs w:val="18"/>
    </w:rPr>
  </w:style>
  <w:style w:type="character" w:customStyle="1" w:styleId="notion-enable-hover">
    <w:name w:val="notion-enable-hover"/>
    <w:basedOn w:val="a0"/>
    <w:qFormat/>
  </w:style>
  <w:style w:type="character" w:customStyle="1" w:styleId="enlinefeed">
    <w:name w:val="enlinefeed"/>
    <w:basedOn w:val="a0"/>
    <w:qFormat/>
  </w:style>
  <w:style w:type="character" w:customStyle="1" w:styleId="kindeditorimghardhat">
    <w:name w:val="__kindeditor_img_hardhat__"/>
    <w:basedOn w:val="a0"/>
    <w:qFormat/>
  </w:style>
  <w:style w:type="character" w:customStyle="1" w:styleId="10">
    <w:name w:val="标题 1 字符"/>
    <w:basedOn w:val="a0"/>
    <w:link w:val="1"/>
    <w:qFormat/>
    <w:rPr>
      <w:rFonts w:ascii="宋体" w:eastAsia="宋体"/>
      <w:b/>
      <w:color w:val="000000"/>
      <w:sz w:val="24"/>
      <w:lang w:eastAsia="en-US" w:bidi="en-US"/>
    </w:rPr>
  </w:style>
  <w:style w:type="character" w:customStyle="1" w:styleId="20">
    <w:name w:val="标题 2 字符"/>
    <w:basedOn w:val="a0"/>
    <w:link w:val="2"/>
    <w:qFormat/>
    <w:rPr>
      <w:rFonts w:ascii="Arial" w:eastAsia="黑体" w:hAnsi="Arial"/>
      <w:b/>
      <w:sz w:val="32"/>
      <w:lang w:eastAsia="en-US" w:bidi="en-US"/>
    </w:rPr>
  </w:style>
  <w:style w:type="character" w:customStyle="1" w:styleId="30">
    <w:name w:val="标题 3 字符"/>
    <w:basedOn w:val="a0"/>
    <w:link w:val="3"/>
    <w:qFormat/>
    <w:rPr>
      <w:rFonts w:eastAsia="宋体"/>
      <w:b/>
      <w:sz w:val="32"/>
      <w:lang w:eastAsia="en-US" w:bidi="en-US"/>
    </w:rPr>
  </w:style>
  <w:style w:type="paragraph" w:customStyle="1" w:styleId="40">
    <w:name w:val="修订4"/>
    <w:hidden/>
    <w:uiPriority w:val="99"/>
    <w:semiHidden/>
    <w:qFormat/>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宋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23B97-1617-45DD-8810-E2AED08CF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114</Pages>
  <Words>11689</Words>
  <Characters>66631</Characters>
  <Application>Microsoft Office Word</Application>
  <DocSecurity>0</DocSecurity>
  <Lines>555</Lines>
  <Paragraphs>156</Paragraphs>
  <ScaleCrop>false</ScaleCrop>
  <Company>平安大华基金管理有限公司</Company>
  <LinksUpToDate>false</LinksUpToDate>
  <CharactersWithSpaces>78164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平安低碳新经济混合型证券投资基金</dc:title>
  <dc:creator>011629191</dc:creator>
  <cp:lastModifiedBy>chenshu</cp:lastModifiedBy>
  <cp:revision>13</cp:revision>
  <cp:lastPrinted>2022-11-15T03:25:00Z</cp:lastPrinted>
  <dcterms:created xsi:type="dcterms:W3CDTF">2025-04-17T07:18:00Z</dcterms:created>
  <dcterms:modified xsi:type="dcterms:W3CDTF">2025-06-04T08:01:00Z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2052-12.8.2.19315</vt:lpwstr>
  </property>
  <property fmtid="{D5CDD505-2E9C-101B-9397-08002B2CF9AE}" pid="3" name="ICV">
    <vt:lpwstr>BA9DB2DE1A6A4BB0893D51FD92B1BA39_12</vt:lpwstr>
  </property>
</Properties>
</file>